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widowControl w:val="0"/>
        <w:spacing w:line="276" w:lineRule="auto"/>
        <w:rPr/>
      </w:pPr>
      <w:bookmarkStart w:colFirst="0" w:colLast="0" w:name="_8han6jvi7arj" w:id="0"/>
      <w:bookmarkEnd w:id="0"/>
      <w:r w:rsidDel="00000000" w:rsidR="00000000" w:rsidRPr="00000000">
        <w:rPr>
          <w:rtl w:val="0"/>
        </w:rPr>
        <w:t xml:space="preserve">Version définitive des rubriques des métadonnées remplies de LC08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Sur les fichiers eux-mêmes (fichier audio unique .mp3 et le fichier .cha qui contient la transcription alignée avec l’audio)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L’alignement entre les fichiers texte et audio a été effectué avec un séquençage de 20 secondes environ.</w:t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L’alignement est un peu décalé.</w:t>
      </w:r>
    </w:p>
    <w:p w:rsidR="00000000" w:rsidDel="00000000" w:rsidP="00000000" w:rsidRDefault="00000000" w:rsidRPr="00000000" w14:paraId="0000000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76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Informations générales sur le mode de transcription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Contexte de l’enregistrement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Remarques sur l’oral (en relation avec le guide de transcription)</w:t>
      </w:r>
    </w:p>
    <w:p w:rsidR="00000000" w:rsidDel="00000000" w:rsidP="00000000" w:rsidRDefault="00000000" w:rsidRPr="00000000" w14:paraId="0000001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Des prononciations hispanisantes non systématique mais fréquentes concernent les lettres et mots suivants : </w:t>
      </w:r>
      <w:r w:rsidDel="00000000" w:rsidR="00000000" w:rsidRPr="00000000">
        <w:rPr>
          <w:i w:val="1"/>
          <w:rtl w:val="0"/>
        </w:rPr>
        <w:t xml:space="preserve">le</w:t>
      </w:r>
      <w:r w:rsidDel="00000000" w:rsidR="00000000" w:rsidRPr="00000000">
        <w:rPr>
          <w:rtl w:val="0"/>
        </w:rPr>
        <w:t xml:space="preserve"> [le],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[b],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 [j]. Au vu de cette fréquence, aucune balise n’est ajoutée lorsque cette prononciation est effectivement constatée. 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331.2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Ajouter les remarques de Carmen sur l'espagnol.</w:t>
      </w:r>
    </w:p>
    <w:p w:rsidR="00000000" w:rsidDel="00000000" w:rsidP="00000000" w:rsidRDefault="00000000" w:rsidRPr="00000000" w14:paraId="0000001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Incertitudes dans la transcription mais une interprétation est choisie</w:t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Interprétation des Npr de lieux et de personnes</w:t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Pour les noms de lieux :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 noms modifiés, ajoutés ou supprimés par rapport aux premières transcriptions, même si une incertitude peut demeurer sur les choix de transcription : 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Condal</w:t>
      </w:r>
      <w:r w:rsidDel="00000000" w:rsidR="00000000" w:rsidRPr="00000000">
        <w:rPr>
          <w:rtl w:val="0"/>
        </w:rPr>
        <w:t xml:space="preserve">. Il pourrait en fait s’agir de</w:t>
      </w:r>
      <w:r w:rsidDel="00000000" w:rsidR="00000000" w:rsidRPr="00000000">
        <w:rPr>
          <w:rtl w:val="0"/>
        </w:rPr>
        <w:t xml:space="preserve"> Condat qui est à l’est de la commune de Fumel (comme Monsempron qui est mentionné comme une limite et est situé à l’ouest de Fumel). Condat est un village qui a été absorbé par la commune de Fumel et est donc à présent un quartier de Fumel. Il n’est donc pas associé à un identifiant car non présent dans les gazetiers utilisés. </w:t>
      </w:r>
      <w:r w:rsidDel="00000000" w:rsidR="00000000" w:rsidRPr="00000000">
        <w:rPr>
          <w:color w:val="ff0000"/>
          <w:rtl w:val="0"/>
        </w:rPr>
        <w:t xml:space="preserve">Remplacer par </w:t>
      </w:r>
      <w:r w:rsidDel="00000000" w:rsidR="00000000" w:rsidRPr="00000000">
        <w:rPr>
          <w:i w:val="1"/>
          <w:color w:val="ff0000"/>
          <w:rtl w:val="0"/>
        </w:rPr>
        <w:t xml:space="preserve">Condat</w:t>
      </w:r>
      <w:r w:rsidDel="00000000" w:rsidR="00000000" w:rsidRPr="00000000">
        <w:rPr>
          <w:color w:val="ff0000"/>
          <w:rtl w:val="0"/>
        </w:rPr>
        <w:t xml:space="preserve"> ou </w:t>
      </w:r>
      <w:r w:rsidDel="00000000" w:rsidR="00000000" w:rsidRPr="00000000">
        <w:rPr>
          <w:i w:val="1"/>
          <w:color w:val="ff0000"/>
          <w:rtl w:val="0"/>
        </w:rPr>
        <w:t xml:space="preserve">&lt;pron=pi&gt;</w:t>
      </w:r>
      <w:r w:rsidDel="00000000" w:rsidR="00000000" w:rsidRPr="00000000">
        <w:rPr>
          <w:color w:val="ff0000"/>
          <w:rtl w:val="0"/>
        </w:rPr>
        <w:t xml:space="preserve"> ? (2 mentions dans le récit)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Siorac</w:t>
      </w:r>
      <w:r w:rsidDel="00000000" w:rsidR="00000000" w:rsidRPr="00000000">
        <w:rPr>
          <w:rtl w:val="0"/>
        </w:rPr>
        <w:t xml:space="preserve">. Transcrit </w:t>
      </w:r>
      <w:r w:rsidDel="00000000" w:rsidR="00000000" w:rsidRPr="00000000">
        <w:rPr>
          <w:rtl w:val="0"/>
        </w:rPr>
        <w:t xml:space="preserve">Surac </w:t>
      </w:r>
      <w:r w:rsidDel="00000000" w:rsidR="00000000" w:rsidRPr="00000000">
        <w:rPr>
          <w:rtl w:val="0"/>
        </w:rPr>
        <w:t xml:space="preserve">dans les premières versions sans identification. Il pourrait s’agir de </w:t>
      </w:r>
      <w:r w:rsidDel="00000000" w:rsidR="00000000" w:rsidRPr="00000000">
        <w:rPr>
          <w:rtl w:val="0"/>
        </w:rPr>
        <w:t xml:space="preserve">Siorac juste au nord de Belvès et faisant partie du canton de Belvès. Le nom de cette commune fût Siorac, puis Siorac-et-Fongauffier, et à présent Siorac-en-Périgord. 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el Fuerte de Jaizkibel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Jaizkibel étant la montagne à l’ouest de Fontarrabie, sur lequel est le Fort de Guadalupe.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&lt;pron=pi&gt;</w:t>
      </w:r>
      <w:r w:rsidDel="00000000" w:rsidR="00000000" w:rsidRPr="00000000">
        <w:rPr>
          <w:rtl w:val="0"/>
        </w:rPr>
        <w:t xml:space="preserve"> pour a priori un lieu, mais pas certain, mentionné près de la mention de la ville de Mosset. Dans les premières version de transcription : l</w:t>
      </w:r>
      <w:r w:rsidDel="00000000" w:rsidR="00000000" w:rsidRPr="00000000">
        <w:rPr>
          <w:i w:val="1"/>
          <w:rtl w:val="0"/>
        </w:rPr>
        <w:t xml:space="preserve">e désert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i w:val="1"/>
          <w:rtl w:val="0"/>
        </w:rPr>
        <w:t xml:space="preserve">les Deux-Sèvres</w:t>
      </w:r>
      <w:r w:rsidDel="00000000" w:rsidR="00000000" w:rsidRPr="00000000">
        <w:rPr>
          <w:rtl w:val="0"/>
        </w:rPr>
        <w:t xml:space="preserve">, remplacé donc par </w:t>
      </w:r>
      <w:r w:rsidDel="00000000" w:rsidR="00000000" w:rsidRPr="00000000">
        <w:rPr>
          <w:i w:val="1"/>
          <w:rtl w:val="0"/>
        </w:rPr>
        <w:t xml:space="preserve">&lt;pron=pi&gt;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possible ambiguïté sur des formes de nom de lieux : </w:t>
      </w:r>
      <w:r w:rsidDel="00000000" w:rsidR="00000000" w:rsidRPr="00000000">
        <w:rPr>
          <w:i w:val="1"/>
          <w:rtl w:val="0"/>
        </w:rPr>
        <w:t xml:space="preserve">Vi</w:t>
      </w:r>
      <w:r w:rsidDel="00000000" w:rsidR="00000000" w:rsidRPr="00000000">
        <w:rPr>
          <w:i w:val="1"/>
          <w:rtl w:val="0"/>
        </w:rPr>
        <w:t xml:space="preserve">lleneuve </w:t>
      </w:r>
      <w:r w:rsidDel="00000000" w:rsidR="00000000" w:rsidRPr="00000000">
        <w:rPr>
          <w:rtl w:val="0"/>
        </w:rPr>
        <w:t xml:space="preserve">correspond parfois à Villeneuve-sur-Yonne (plutôt dans la première moitié de la transcription), et parfois à Villeneuve-sur-Lot (plutôt dans la deuxième moitié de la transcription).</w:t>
      </w:r>
      <w:r w:rsidDel="00000000" w:rsidR="00000000" w:rsidRPr="00000000">
        <w:rPr>
          <w:rtl w:val="0"/>
        </w:rPr>
        <w:t xml:space="preserve"> Pour une annotation automatique à l’aide d’un gazetier, cela suppose de désambiguïser fgrâce au contexte.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d’annotation de </w:t>
      </w:r>
      <w:r w:rsidDel="00000000" w:rsidR="00000000" w:rsidRPr="00000000">
        <w:rPr>
          <w:i w:val="1"/>
          <w:rtl w:val="0"/>
        </w:rPr>
        <w:t xml:space="preserve">France</w:t>
      </w:r>
      <w:r w:rsidDel="00000000" w:rsidR="00000000" w:rsidRPr="00000000">
        <w:rPr>
          <w:rtl w:val="0"/>
        </w:rPr>
        <w:t xml:space="preserve"> quand il apparaît dans </w:t>
      </w:r>
      <w:r w:rsidDel="00000000" w:rsidR="00000000" w:rsidRPr="00000000">
        <w:rPr>
          <w:i w:val="1"/>
          <w:rtl w:val="0"/>
        </w:rPr>
        <w:t xml:space="preserve">Banque de France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ff0000"/>
          <w:rtl w:val="0"/>
        </w:rPr>
        <w:t xml:space="preserve">À ha</w:t>
      </w:r>
      <w:r w:rsidDel="00000000" w:rsidR="00000000" w:rsidRPr="00000000">
        <w:rPr>
          <w:color w:val="ff0000"/>
          <w:rtl w:val="0"/>
        </w:rPr>
        <w:t xml:space="preserve">rmoniser ensuite avec les autres cas. Pour l’instant dans le guide de transcription, annotation des lieux comme </w:t>
      </w:r>
      <w:r w:rsidDel="00000000" w:rsidR="00000000" w:rsidRPr="00000000">
        <w:rPr>
          <w:i w:val="1"/>
          <w:color w:val="ff0000"/>
          <w:rtl w:val="0"/>
        </w:rPr>
        <w:t xml:space="preserve">Radio &lt;lieu id=xxx&gt; Londres &lt;/lieu&gt;</w:t>
      </w:r>
      <w:r w:rsidDel="00000000" w:rsidR="00000000" w:rsidRPr="00000000">
        <w:rPr>
          <w:color w:val="ff0000"/>
          <w:rtl w:val="0"/>
        </w:rPr>
        <w:t xml:space="preserve"> mais on pourra les supprimer ensuite.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Vérifier que Pampelune a été ajouté au dictionnaire des NPr du récit. 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Pour les noms de personnes :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ageBreakBefore w:val="0"/>
        <w:widowControl w:val="0"/>
        <w:spacing w:line="276" w:lineRule="auto"/>
        <w:rPr/>
      </w:pPr>
      <w:bookmarkStart w:colFirst="0" w:colLast="0" w:name="_80ufbrycuhr" w:id="1"/>
      <w:bookmarkEnd w:id="1"/>
      <w:r w:rsidDel="00000000" w:rsidR="00000000" w:rsidRPr="00000000">
        <w:rPr>
          <w:rtl w:val="0"/>
        </w:rPr>
        <w:t xml:space="preserve">Commentaires Déborah puis Carmen, Catherine, Laurence</w:t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76" w:lineRule="auto"/>
        <w:rPr>
          <w:color w:val="3c78d8"/>
        </w:rPr>
      </w:pPr>
      <w:r w:rsidDel="00000000" w:rsidR="00000000" w:rsidRPr="00000000">
        <w:rPr>
          <w:rtl w:val="0"/>
        </w:rPr>
        <w:t xml:space="preserve">Commentaires Déborah</w:t>
      </w:r>
      <w:r w:rsidDel="00000000" w:rsidR="00000000" w:rsidRPr="00000000">
        <w:rPr>
          <w:color w:val="741b47"/>
          <w:rtl w:val="0"/>
        </w:rPr>
        <w:t xml:space="preserve">/réponses</w:t>
      </w:r>
      <w:r w:rsidDel="00000000" w:rsidR="00000000" w:rsidRPr="00000000">
        <w:rPr>
          <w:rtl w:val="0"/>
        </w:rPr>
        <w:t xml:space="preserve">, et </w:t>
      </w:r>
      <w:r w:rsidDel="00000000" w:rsidR="00000000" w:rsidRPr="00000000">
        <w:rPr>
          <w:color w:val="674ea7"/>
          <w:rtl w:val="0"/>
        </w:rPr>
        <w:t xml:space="preserve">Carmen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a84f"/>
          <w:rtl w:val="0"/>
        </w:rPr>
        <w:t xml:space="preserve">Catherine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c78d8"/>
          <w:rtl w:val="0"/>
        </w:rPr>
        <w:t xml:space="preserve">Laurence</w:t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LC08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Balisage des NprLieu avec les identifiants de gazetier : ok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Vérification des codes de noms propres de personnes : ok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 systématiques 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[] remplacés par des &lt;&gt; (&lt;euh&gt;, &lt;silence&gt;, &lt;pause&gt;, &lt;pron=nonstd&gt;, &lt;pron=pi&gt;...)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ah/eh/hé/oh/hein/euh/ben/bah/beh &lt;/mdd&gt; --- &lt;ah/eh/hé/oh/hein/euh/bah/beh&gt;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et bien &lt;/mdd&gt; --- &lt;mdd&gt; eh bien &lt;/mdd&gt;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mais/oui &lt;/mdd&gt; &gt;&gt; corriger si nécessaire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&lt;hum&gt; --- &lt;hmm&gt;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&lt;rire/pleur&gt; --- &lt;rireentendu/pleurentendu&gt;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&lt;pause/silence&gt; --- &lt;si&gt;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&lt;revis&gt; &lt;/revis&gt; --- &lt;revision&gt; &lt;/revision&gt;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&lt;espagnol&gt;&lt;/espagnol&gt; --- &lt;lg=espagnol&gt;&lt;/lg=espagnol&gt;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 là --- XXX-là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y'a/y'en &gt; y a / y en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caetera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&lt;audiomanquantsep/fus&gt; --- effacés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Ajouts de majuscules, par exemple 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 républicains --- les Républicains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 espagnols --- les Espagnols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 notables 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Questions/Réponses 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Gazetier 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"Cabezon de la Sal" --- "Cabezón de la Sal"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Ajouter "Méditerranée" ? (l. 599)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"Condal" : pas sûre de l'orthographe (l. 965, 1054). Remplacer par &lt;pron=pi&gt; 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"Villeneuve" correspond parfois à "Villeneuve-sur-Yonne" (dans la première moitié de la transcription),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parfois à "Villeneuve-sur-Lot" (dans la deuxième moitié de la transcription).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Je n'ai pas annoté "France" quand il apparaît dans "Banque de France".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&lt;LJ&gt; Mise à jour du dictionnaire LC08 sur le FTP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Ajout : Méditerranée:5-id=363196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Modification : Cabezón de la Sal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Je pense que c’est “Condat” qui est à l’est de Fumel (// Monsempron à l’ouest de Fumel, mentionné comme limite). C’est un village absorbé par la commune de Fumel. Comme c’est un quartier de Fumel à présent, ne pas l’annoter pour l’instant. Sinon ce serait le même identifiant que Fumel.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Pour Villeneuve, ok on laisse comme cela dans le dictionnaire. Pour l’annotation automatique, cela supposera de préciser la désambiguïsation contextuelle.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Pour Banque de France : d’accord, je note qu’il faudra que l’on harmonise ensuite avec les autres cas. Pour l’instant dans le guide de transcription, j’avais ajouté l’annotation des lieux comme </w:t>
      </w:r>
      <w:r w:rsidDel="00000000" w:rsidR="00000000" w:rsidRPr="00000000">
        <w:rPr>
          <w:i w:val="1"/>
          <w:color w:val="4a86e8"/>
          <w:rtl w:val="0"/>
        </w:rPr>
        <w:t xml:space="preserve">Radio &lt;lieu id=xxx&gt; Londres &lt;/lieu&gt;</w:t>
      </w:r>
      <w:r w:rsidDel="00000000" w:rsidR="00000000" w:rsidRPr="00000000">
        <w:rPr>
          <w:color w:val="4a86e8"/>
          <w:rtl w:val="0"/>
        </w:rPr>
        <w:t xml:space="preserve"> mais on pourra les supprimer ensuite.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Lieux 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321    --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 Pampelune" </w:t>
      </w:r>
    </w:p>
    <w:p w:rsidR="00000000" w:rsidDel="00000000" w:rsidP="00000000" w:rsidRDefault="00000000" w:rsidRPr="00000000" w14:paraId="00000069">
      <w:pPr>
        <w:pageBreakBefore w:val="0"/>
        <w:widowControl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&lt;LJ&gt; oui, c’est ambigu ?</w:t>
      </w:r>
    </w:p>
    <w:p w:rsidR="00000000" w:rsidDel="00000000" w:rsidP="00000000" w:rsidRDefault="00000000" w:rsidRPr="00000000" w14:paraId="0000006A">
      <w:pPr>
        <w:pageBreakBefore w:val="0"/>
        <w:widowControl w:val="0"/>
        <w:rPr>
          <w:color w:val="4c1130"/>
        </w:rPr>
      </w:pPr>
      <w:r w:rsidDel="00000000" w:rsidR="00000000" w:rsidRPr="00000000">
        <w:rPr>
          <w:color w:val="4c1130"/>
          <w:rtl w:val="0"/>
        </w:rPr>
        <w:t xml:space="preserve">&lt;DL&gt; Non je l’ai ajouté : il n’y avait rien de transcris, alors que j’entendais “de Pampelune”.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323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&lt;pron=lieu&gt;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Fuerte de Rapitán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D">
      <w:pPr>
        <w:pageBreakBefore w:val="0"/>
        <w:widowControl w:val="0"/>
        <w:rPr/>
      </w:pPr>
      <w:r w:rsidDel="00000000" w:rsidR="00000000" w:rsidRPr="00000000">
        <w:rPr>
          <w:color w:val="4a86e8"/>
          <w:rtl w:val="0"/>
        </w:rPr>
        <w:t xml:space="preserve">&lt;LJ&gt; Je dirai “el Fuerte d</w:t>
      </w:r>
      <w:r w:rsidDel="00000000" w:rsidR="00000000" w:rsidRPr="00000000">
        <w:rPr>
          <w:color w:val="4a86e8"/>
          <w:rtl w:val="0"/>
        </w:rPr>
        <w:t xml:space="preserve">e Jaizkibel”, Jaizkibel est la montagne à l’ouest de Fontarrabie, sur lequel est le Fort de Guadalupe. Comme c’est une montagne, je l’ajoute au dictionnaire des Npr de lieux : Jaizkibel:5-id=3120203 pour annotation. Note pour plus tard : penser à l’ajouter aux cartes.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1969 "le désert" --- "les Deux-Sèvres" : s'il parle bien des Deux-Sèvres, "Mosset" (ligne précédente) n'est peut-être pas la bonne ville.</w:t>
      </w:r>
    </w:p>
    <w:p w:rsidR="00000000" w:rsidDel="00000000" w:rsidP="00000000" w:rsidRDefault="00000000" w:rsidRPr="00000000" w14:paraId="0000006F">
      <w:pPr>
        <w:pageBreakBefore w:val="0"/>
        <w:widowControl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&lt;LJ&gt; Oui, cela ne doit pas être les Deux-Sévres. Je mettrais &lt;pron=pi&gt; (pas sûr que ce soit un lieu non plus).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2008, 2103 "Surac" ? Remplacer par &lt;pron=pi&gt; ?</w:t>
      </w:r>
    </w:p>
    <w:p w:rsidR="00000000" w:rsidDel="00000000" w:rsidP="00000000" w:rsidRDefault="00000000" w:rsidRPr="00000000" w14:paraId="00000071">
      <w:pPr>
        <w:pageBreakBefore w:val="0"/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a86e8"/>
          <w:rtl w:val="0"/>
        </w:rPr>
        <w:t xml:space="preserve">&lt;LJ&gt; C’est peut-être Siorac, juste au nord de Belvès. La prononciation me semble coller.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Source Wikipedia : “souvent nommée « Siorac-de-Belvès »”. Commune de Siorac, puis Siorac-et-Fongauffier, et à présent Siorac-en-Périgord. Ajout dans le dictionnaire de : Siorac:5-id=2974480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Méta-données : </w:t>
      </w:r>
    </w:p>
    <w:p w:rsidR="00000000" w:rsidDel="00000000" w:rsidP="00000000" w:rsidRDefault="00000000" w:rsidRPr="00000000" w14:paraId="0000007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&lt;DL&gt; Alignement décalé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&lt;DL&gt;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Prononciation hispanisante (pas systématiquement mais souvent) 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[le]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[b]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[j]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