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Finance</w:t>
      </w:r>
      <w:r>
        <w:t xml:space="preserve"> </w:t>
      </w:r>
      <w:r>
        <w:t xml:space="preserve">and</w:t>
      </w:r>
      <w:r>
        <w:t xml:space="preserve"> </w:t>
      </w:r>
      <w:r>
        <w:t xml:space="preserve">sustainability</w:t>
      </w:r>
      <w:r>
        <w:t xml:space="preserve"> </w:t>
      </w:r>
      <w:r>
        <w:t xml:space="preserve">crash</w:t>
      </w:r>
      <w:r>
        <w:t xml:space="preserve"> </w:t>
      </w:r>
      <w:r>
        <w:t xml:space="preserve">course</w:t>
      </w:r>
      <w:r>
        <w:t xml:space="preserve"> </w:t>
      </w:r>
      <w:r>
        <w:t xml:space="preserve">-</w:t>
      </w:r>
      <w:r>
        <w:t xml:space="preserve"> </w:t>
      </w:r>
      <w:r>
        <w:t xml:space="preserve">session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April</w:t>
      </w:r>
      <w:r>
        <w:t xml:space="preserve"> </w:t>
      </w:r>
      <w:r>
        <w:t xml:space="preserve">01,</w:t>
      </w:r>
      <w:r>
        <w:t xml:space="preserve"> </w:t>
      </w:r>
      <w:r>
        <w:t xml:space="preserve">2015</w:t>
      </w:r>
    </w:p>
    <w:p>
      <w:r>
        <w:t xml:space="preserve">{% include JB/setup %}</w:t>
      </w:r>
    </w:p>
    <w:p>
      <w:pPr>
        <w:pStyle w:val="Heading3"/>
      </w:pPr>
      <w:bookmarkStart w:id="21" w:name="speaker"/>
      <w:bookmarkEnd w:id="21"/>
      <w:r>
        <w:t xml:space="preserve">Speaker</w:t>
      </w:r>
    </w:p>
    <w:p>
      <w:r>
        <w:t xml:space="preserve">Founder of GAIA values - appreiating nature's assets</w:t>
      </w:r>
    </w:p>
    <w:p>
      <w:r>
        <w:t xml:space="preserve">Has been managing - "natural value initiative"</w:t>
      </w:r>
    </w:p>
    <w:p>
      <w:r>
        <w:t xml:space="preserve">Collaborating with "Fauna &amp; flora" in Cambridge</w:t>
      </w:r>
    </w:p>
    <w:p>
      <w:r>
        <w:pict>
          <v:rect style="width:0;height:1.5pt" o:hralign="center" o:hrstd="t" o:hr="t"/>
        </w:pict>
      </w:r>
    </w:p>
    <w:p>
      <w:r>
        <w:t xml:space="preserve">"Sustainabile seafood finance" tool - introduction video</w:t>
      </w:r>
    </w:p>
    <w:p>
      <w:r>
        <w:pict>
          <v:rect style="width:0;height:1.5pt" o:hralign="center" o:hrstd="t" o:hr="t"/>
        </w:pict>
      </w:r>
    </w:p>
    <w:p>
      <w:r>
        <w:rPr>
          <w:i/>
        </w:rPr>
        <w:t xml:space="preserve">FI: financial institutitions</w:t>
      </w:r>
    </w:p>
    <w:p>
      <w:pPr>
        <w:pStyle w:val="Heading1"/>
      </w:pPr>
      <w:bookmarkStart w:id="22" w:name="ecosystem-change-financial-risk-opportunity"/>
      <w:bookmarkEnd w:id="22"/>
      <w:r>
        <w:t xml:space="preserve">Ecosystem change: Financial risk &amp; opportunity</w:t>
      </w:r>
    </w:p>
    <w:p>
      <w:pPr>
        <w:pStyle w:val="Heading2"/>
      </w:pPr>
      <w:bookmarkStart w:id="23" w:name="drivers-of-change-in-corporate-behavior"/>
      <w:bookmarkEnd w:id="23"/>
      <w:r>
        <w:t xml:space="preserve">Drivers of change in corporate behavior</w:t>
      </w:r>
    </w:p>
    <w:p>
      <w:r>
        <w:rPr>
          <w:b/>
        </w:rPr>
        <w:t xml:space="preserve">Environmental change:</w:t>
      </w:r>
    </w:p>
    <w:p>
      <w:r>
        <w:rPr>
          <w:i/>
        </w:rPr>
        <w:t xml:space="preserve">The Texas drought</w:t>
      </w:r>
      <w:r>
        <w:t xml:space="preserve"> </w:t>
      </w:r>
      <w:r>
        <w:t xml:space="preserve">caused GAP to cut its profit forecasts by 22%</w:t>
      </w:r>
    </w:p>
    <w:p>
      <w:r>
        <w:t xml:space="preserve">Increasing raw material prices for cotton made</w:t>
      </w:r>
      <w:r>
        <w:t xml:space="preserve"> </w:t>
      </w:r>
      <w:r>
        <w:rPr>
          <w:i/>
        </w:rPr>
        <w:t xml:space="preserve">H&amp;M</w:t>
      </w:r>
      <w:r>
        <w:t xml:space="preserve"> </w:t>
      </w:r>
      <w:r>
        <w:t xml:space="preserve">change its cotton source (??? correct note ???)</w:t>
      </w:r>
    </w:p>
    <w:p>
      <w:r>
        <w:t xml:space="preserve">Markets for compensation - biodiversity off-setting (</w:t>
      </w:r>
      <w:r>
        <w:rPr>
          <w:i/>
        </w:rPr>
        <w:t xml:space="preserve">The Biodiversity Consultancy</w:t>
      </w:r>
      <w:r>
        <w:t xml:space="preserve">)</w:t>
      </w:r>
    </w:p>
    <w:p>
      <w:r>
        <w:rPr>
          <w:i/>
        </w:rPr>
        <w:t xml:space="preserve">Clean Waer Act</w:t>
      </w:r>
      <w:r>
        <w:t xml:space="preserve"> </w:t>
      </w:r>
      <w:r>
        <w:t xml:space="preserve">- requires wetland mitigation - total market value on the order of billions of US dollars</w:t>
      </w:r>
    </w:p>
    <w:p>
      <w:r>
        <w:rPr>
          <w:i/>
        </w:rPr>
        <w:t xml:space="preserve">Unilever</w:t>
      </w:r>
      <w:r>
        <w:t xml:space="preserve"> </w:t>
      </w:r>
      <w:r>
        <w:t xml:space="preserve">certified tea - increased sales w/ 12 %</w:t>
      </w:r>
    </w:p>
    <w:p>
      <w:r>
        <w:t xml:space="preserve">*Alfa Laval** - "new technology beefs up share price"</w:t>
      </w:r>
    </w:p>
    <w:p>
      <w:r>
        <w:t xml:space="preserve">Paper with KPMG "Identifying natural capital risk and maternality" directed at CFOs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financial-services-sector"/>
      <w:bookmarkEnd w:id="24"/>
      <w:r>
        <w:t xml:space="preserve">Financial services sector</w:t>
      </w:r>
    </w:p>
    <w:p/>
    <w:p>
      <w:pPr>
        <w:pStyle w:val="Heading3"/>
      </w:pPr>
      <w:bookmarkStart w:id="25" w:name="institutional-investors"/>
      <w:bookmarkEnd w:id="25"/>
      <w:r>
        <w:t xml:space="preserve">Institutional investors</w:t>
      </w:r>
    </w:p>
    <w:p>
      <w:pPr>
        <w:numPr>
          <w:numId w:val="1001"/>
          <w:ilvl w:val="0"/>
        </w:numPr>
      </w:pPr>
      <w:r>
        <w:t xml:space="preserve">Are emerging economies safe? -- case of HSBC report reporting on stress on China's natural capital and implications for growth scenarios</w:t>
      </w:r>
    </w:p>
    <w:p>
      <w:pPr>
        <w:numPr>
          <w:numId w:val="1001"/>
          <w:ilvl w:val="0"/>
        </w:numPr>
      </w:pPr>
      <w:r>
        <w:rPr>
          <w:b/>
        </w:rPr>
        <w:t xml:space="preserve">Universal owners</w:t>
      </w:r>
      <w:r>
        <w:t xml:space="preserve"> </w:t>
      </w:r>
      <w:r>
        <w:t xml:space="preserve">- very big institutional investors - national banks, national pension funds etc. etc.</w:t>
      </w:r>
    </w:p>
    <w:p>
      <w:pPr>
        <w:numPr>
          <w:numId w:val="1001"/>
          <w:ilvl w:val="0"/>
        </w:numPr>
      </w:pPr>
      <w:r>
        <w:t xml:space="preserve">How can</w:t>
      </w:r>
      <w:r>
        <w:t xml:space="preserve"> </w:t>
      </w:r>
      <w:r>
        <w:rPr>
          <w:i/>
        </w:rPr>
        <w:t xml:space="preserve">universal owners respond</w:t>
      </w:r>
      <w:r>
        <w:t xml:space="preserve"> </w:t>
      </w:r>
      <w:r>
        <w:t xml:space="preserve">- universal owners have interest in whole system rather than short-term performance of individual market actors. (Achim Steiner, UNEP Executive Director)</w:t>
      </w:r>
    </w:p>
    <w:p>
      <w:pPr>
        <w:pStyle w:val="Compact"/>
        <w:numPr>
          <w:numId w:val="1002"/>
          <w:ilvl w:val="1"/>
        </w:numPr>
      </w:pPr>
      <w:r>
        <w:t xml:space="preserve">Universal owners should avoid systemic risk.</w:t>
      </w:r>
    </w:p>
    <w:p>
      <w:pPr>
        <w:numPr>
          <w:numId w:val="1001"/>
          <w:ilvl w:val="0"/>
        </w:numPr>
      </w:pPr>
      <w:r>
        <w:t xml:space="preserve">Climate risk</w:t>
      </w:r>
    </w:p>
    <w:p>
      <w:pPr>
        <w:numPr>
          <w:numId w:val="1001"/>
          <w:ilvl w:val="0"/>
        </w:numPr>
      </w:pPr>
      <w:r>
        <w:t xml:space="preserve">Water risk</w:t>
      </w:r>
    </w:p>
    <w:p>
      <w:pPr>
        <w:pStyle w:val="Compact"/>
        <w:numPr>
          <w:numId w:val="1003"/>
          <w:ilvl w:val="1"/>
        </w:numPr>
      </w:pPr>
      <w:r>
        <w:t xml:space="preserve">Rio Tinto, Ceres database - "A framework for 21st century water risk management"</w:t>
      </w:r>
    </w:p>
    <w:p>
      <w:pPr>
        <w:pStyle w:val="Compact"/>
        <w:numPr>
          <w:numId w:val="1003"/>
          <w:ilvl w:val="1"/>
        </w:numPr>
      </w:pPr>
      <w:r>
        <w:t xml:space="preserve">Water database</w:t>
      </w:r>
    </w:p>
    <w:p>
      <w:pPr>
        <w:pStyle w:val="Compact"/>
        <w:numPr>
          <w:numId w:val="1001"/>
          <w:ilvl w:val="0"/>
        </w:numPr>
      </w:pPr>
      <w:r>
        <w:t xml:space="preserve">PRI - Principles for Responsible Investment (45 trillion signed up to principles)</w:t>
      </w:r>
    </w:p>
    <w:p>
      <w:pPr>
        <w:pStyle w:val="Compact"/>
        <w:numPr>
          <w:numId w:val="1004"/>
          <w:ilvl w:val="1"/>
        </w:numPr>
      </w:pPr>
      <w:r>
        <w:t xml:space="preserve">2011 Engagement with retailers around sustainable seafod</w:t>
      </w:r>
    </w:p>
    <w:p>
      <w:pPr>
        <w:pStyle w:val="Compact"/>
        <w:numPr>
          <w:numId w:val="1004"/>
          <w:ilvl w:val="1"/>
        </w:numPr>
      </w:pPr>
      <w:r>
        <w:t xml:space="preserve">2013 Engagement with retailers around palm oil production</w:t>
      </w:r>
    </w:p>
    <w:p>
      <w:pPr>
        <w:pStyle w:val="Compact"/>
        <w:numPr>
          <w:numId w:val="1001"/>
          <w:ilvl w:val="0"/>
        </w:numPr>
      </w:pPr>
      <w:r>
        <w:t xml:space="preserve">Should I stay or should I go</w:t>
      </w:r>
    </w:p>
    <w:p>
      <w:pPr>
        <w:pStyle w:val="Compact"/>
        <w:numPr>
          <w:numId w:val="1005"/>
          <w:ilvl w:val="1"/>
        </w:numPr>
      </w:pPr>
      <w:r>
        <w:t xml:space="preserve">Divestment</w:t>
      </w:r>
    </w:p>
    <w:p>
      <w:pPr>
        <w:pStyle w:val="Compact"/>
        <w:numPr>
          <w:numId w:val="1005"/>
          <w:ilvl w:val="1"/>
        </w:numPr>
      </w:pPr>
      <w:r>
        <w:t xml:space="preserve">Etichal councial</w:t>
      </w:r>
    </w:p>
    <w:p>
      <w:pPr>
        <w:pStyle w:val="Compact"/>
        <w:numPr>
          <w:numId w:val="1005"/>
          <w:ilvl w:val="1"/>
        </w:numPr>
      </w:pPr>
      <w:r>
        <w:t xml:space="preserve">In 2013 Swedish AP funds divest (sell) FREEPORT MCMORAN COPPER &amp; GOLD stocks based on implication in serious environmental damage in contravention of the UN CBD.</w:t>
      </w:r>
    </w:p>
    <w:p>
      <w:pPr>
        <w:pStyle w:val="Compact"/>
        <w:numPr>
          <w:numId w:val="1001"/>
          <w:ilvl w:val="0"/>
        </w:numPr>
      </w:pPr>
      <w:r>
        <w:t xml:space="preserve">New products and services</w:t>
      </w:r>
    </w:p>
    <w:p>
      <w:pPr>
        <w:pStyle w:val="Compact"/>
        <w:numPr>
          <w:numId w:val="1006"/>
          <w:ilvl w:val="1"/>
        </w:numPr>
      </w:pPr>
      <w:r>
        <w:t xml:space="preserve">dNb gLOBAL håLLBAR</w:t>
      </w:r>
    </w:p>
    <w:p>
      <w:pPr>
        <w:pStyle w:val="Compact"/>
        <w:numPr>
          <w:numId w:val="1006"/>
          <w:ilvl w:val="1"/>
        </w:numPr>
      </w:pPr>
      <w:r>
        <w:t xml:space="preserve">Sumitomo Trust BankK - Biodiversity SRI funds</w:t>
      </w:r>
    </w:p>
    <w:p>
      <w:pPr>
        <w:numPr>
          <w:numId w:val="1001"/>
          <w:ilvl w:val="0"/>
        </w:numPr>
      </w:pPr>
      <w:r>
        <w:t xml:space="preserve">Regulatory driver</w:t>
      </w:r>
    </w:p>
    <w:p>
      <w:r>
        <w:t xml:space="preserve">Lack of reporting standards pose a significant barrier to gerater incorporation of natural capital - call for sector based reporting standards</w:t>
      </w:r>
    </w:p>
    <w:p/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private-investors"/>
      <w:bookmarkEnd w:id="26"/>
      <w:r>
        <w:t xml:space="preserve">Private investors</w:t>
      </w:r>
    </w:p>
    <w:p>
      <w:pPr>
        <w:numPr>
          <w:numId w:val="1007"/>
          <w:ilvl w:val="0"/>
        </w:numPr>
      </w:pPr>
      <w:r>
        <w:rPr>
          <w:i/>
        </w:rPr>
        <w:t xml:space="preserve">Consumer awareness tools</w:t>
      </w:r>
      <w:r>
        <w:t xml:space="preserve"> </w:t>
      </w:r>
      <w:r>
        <w:t xml:space="preserve">may be a facilitating driver of change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Venture capitalists</w:t>
      </w:r>
    </w:p>
    <w:p>
      <w:pPr>
        <w:pStyle w:val="Compact"/>
        <w:numPr>
          <w:numId w:val="1008"/>
          <w:ilvl w:val="1"/>
        </w:numPr>
      </w:pPr>
      <w:r>
        <w:t xml:space="preserve">Carl Harl - environmental capitalists</w:t>
      </w:r>
    </w:p>
    <w:p>
      <w:pPr>
        <w:pStyle w:val="Compact"/>
        <w:numPr>
          <w:numId w:val="1008"/>
          <w:ilvl w:val="1"/>
        </w:numPr>
      </w:pPr>
      <w:r>
        <w:t xml:space="preserve">Sustainable Technologies Fund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Impact investment</w:t>
      </w:r>
    </w:p>
    <w:p>
      <w:pPr>
        <w:pStyle w:val="Compact"/>
        <w:numPr>
          <w:numId w:val="1009"/>
          <w:ilvl w:val="1"/>
        </w:numPr>
      </w:pPr>
      <w:r>
        <w:t xml:space="preserve">Investment to try and have a positive impact</w:t>
      </w:r>
    </w:p>
    <w:p>
      <w:pPr>
        <w:pStyle w:val="Compact"/>
        <w:numPr>
          <w:numId w:val="1009"/>
          <w:ilvl w:val="1"/>
        </w:numPr>
      </w:pPr>
      <w:r>
        <w:t xml:space="preserve">Often local initiatives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Oryx ipact investments</w:t>
      </w:r>
      <w:r>
        <w:t xml:space="preserve"> </w:t>
      </w:r>
      <w:r>
        <w:t xml:space="preserve">as an example</w:t>
      </w:r>
    </w:p>
    <w:p>
      <w:pPr>
        <w:pStyle w:val="Heading2"/>
      </w:pPr>
      <w:bookmarkStart w:id="27" w:name="section"/>
      <w:bookmarkEnd w:id="27"/>
    </w:p>
    <w:p>
      <w:pPr>
        <w:pStyle w:val="Heading3"/>
      </w:pPr>
      <w:bookmarkStart w:id="28" w:name="banking"/>
      <w:bookmarkEnd w:id="28"/>
      <w:r>
        <w:t xml:space="preserve">Banking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Corportate finance sector policies</w:t>
      </w:r>
    </w:p>
    <w:p>
      <w:pPr>
        <w:pStyle w:val="Compact"/>
        <w:numPr>
          <w:numId w:val="1011"/>
          <w:ilvl w:val="1"/>
        </w:numPr>
      </w:pPr>
      <w:r>
        <w:t xml:space="preserve">Lending money for investors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Case</w:t>
      </w:r>
      <w:r>
        <w:t xml:space="preserve"> </w:t>
      </w:r>
      <w:r>
        <w:t xml:space="preserve">Deutsche Bank was helping China Tuna with an IPO to raise USD 150 mil</w:t>
      </w:r>
    </w:p>
    <w:p>
      <w:pPr>
        <w:pStyle w:val="Compact"/>
        <w:numPr>
          <w:numId w:val="1011"/>
          <w:ilvl w:val="1"/>
        </w:numPr>
      </w:pPr>
      <w:r>
        <w:t xml:space="preserve">The IPO was based on</w:t>
      </w:r>
    </w:p>
    <w:p>
      <w:pPr>
        <w:pStyle w:val="Compact"/>
        <w:numPr>
          <w:numId w:val="1012"/>
          <w:ilvl w:val="2"/>
        </w:numPr>
      </w:pPr>
      <w:r>
        <w:t xml:space="preserve">incorrect info to investors</w:t>
      </w:r>
    </w:p>
    <w:p>
      <w:pPr>
        <w:pStyle w:val="Compact"/>
        <w:numPr>
          <w:numId w:val="1012"/>
          <w:ilvl w:val="2"/>
        </w:numPr>
      </w:pPr>
      <w:r>
        <w:t xml:space="preserve">ecosystem limits disregarded</w:t>
      </w:r>
    </w:p>
    <w:p>
      <w:pPr>
        <w:numPr>
          <w:numId w:val="1011"/>
          <w:ilvl w:val="1"/>
        </w:numPr>
      </w:pPr>
      <w:r>
        <w:t xml:space="preserve">IPO was suspended</w:t>
      </w:r>
    </w:p>
    <w:p>
      <w:pPr>
        <w:numPr>
          <w:numId w:val="1011"/>
          <w:ilvl w:val="1"/>
        </w:numPr>
      </w:pPr>
      <w:r>
        <w:t xml:space="preserve">Discussion - how did they get the data?</w:t>
      </w:r>
    </w:p>
    <w:p>
      <w:pPr>
        <w:numPr>
          <w:numId w:val="1010"/>
          <w:ilvl w:val="0"/>
        </w:numPr>
      </w:pPr>
      <w:r>
        <w:rPr>
          <w:i/>
        </w:rPr>
        <w:t xml:space="preserve">Eco-friendly loans</w:t>
      </w:r>
    </w:p>
    <w:p>
      <w:pPr>
        <w:numPr>
          <w:numId w:val="1010"/>
          <w:ilvl w:val="0"/>
        </w:numPr>
      </w:pPr>
      <w:r>
        <w:rPr>
          <w:i/>
        </w:rPr>
        <w:t xml:space="preserve">Project finance criteria</w:t>
      </w:r>
    </w:p>
    <w:p>
      <w:pPr>
        <w:numPr>
          <w:numId w:val="1013"/>
          <w:ilvl w:val="1"/>
        </w:numPr>
      </w:pPr>
      <w:r>
        <w:t xml:space="preserve">International Finance Corporation (privae sector arm of World Bank Group)</w:t>
      </w:r>
    </w:p>
    <w:p>
      <w:pPr>
        <w:pStyle w:val="Compact"/>
        <w:numPr>
          <w:numId w:val="1013"/>
          <w:ilvl w:val="1"/>
        </w:numPr>
      </w:pPr>
      <w:r>
        <w:t xml:space="preserve">As of 2012 IFc requires projects to maintain ecosystem services benefits and to identify those services that the project is directly dependent upon.</w:t>
      </w:r>
    </w:p>
    <w:p>
      <w:pPr>
        <w:numPr>
          <w:numId w:val="1013"/>
          <w:ilvl w:val="1"/>
        </w:numPr>
      </w:pPr>
      <w:r>
        <w:t xml:space="preserve">78 banks with 70% of global project finance to emerging markets follow the IFC pPerformance Standards</w:t>
      </w:r>
    </w:p>
    <w:p>
      <w:pPr>
        <w:numPr>
          <w:numId w:val="1013"/>
          <w:ilvl w:val="1"/>
        </w:numPr>
      </w:pPr>
      <w:r>
        <w:t xml:space="preserve">Clashes of interest between - shareholder interests (short-term) - company (longer-term) - lenders such as banks (???)</w:t>
      </w:r>
    </w:p>
    <w:p>
      <w:pPr>
        <w:numPr>
          <w:numId w:val="1013"/>
          <w:ilvl w:val="1"/>
        </w:numPr>
      </w:pPr>
      <w:r>
        <w:t xml:space="preserve">Natural capital as last step consideration</w:t>
      </w:r>
      <w:r>
        <w:t xml:space="preserve"> </w:t>
      </w:r>
      <w:r>
        <w:rPr>
          <w:i/>
        </w:rPr>
        <w:t xml:space="preserve">versus</w:t>
      </w:r>
      <w:r>
        <w:t xml:space="preserve"> </w:t>
      </w:r>
      <w:r>
        <w:t xml:space="preserve">natural capital as a strategic driver</w:t>
      </w:r>
    </w:p>
    <w:p>
      <w:pPr>
        <w:numPr>
          <w:numId w:val="1013"/>
          <w:ilvl w:val="1"/>
        </w:numPr>
      </w:pPr>
      <w:r>
        <w:t xml:space="preserve">Also clashes in interests between short-term and longer-term investors</w:t>
      </w:r>
    </w:p>
    <w:p>
      <w:pPr>
        <w:numPr>
          <w:numId w:val="1010"/>
          <w:ilvl w:val="0"/>
        </w:numPr>
      </w:pPr>
      <w:r>
        <w:rPr>
          <w:i/>
        </w:rPr>
        <w:t xml:space="preserve">Insurance</w:t>
      </w:r>
    </w:p>
    <w:p>
      <w:pPr>
        <w:pStyle w:val="Compact"/>
        <w:numPr>
          <w:numId w:val="1014"/>
          <w:ilvl w:val="1"/>
        </w:numPr>
      </w:pPr>
      <w:r>
        <w:t xml:space="preserve">Climate change may results in higher home issurances</w:t>
      </w:r>
    </w:p>
    <w:p/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bond-market"/>
      <w:bookmarkEnd w:id="29"/>
      <w:r>
        <w:t xml:space="preserve">Bond market</w:t>
      </w:r>
    </w:p>
    <w:p>
      <w:pPr>
        <w:numPr>
          <w:numId w:val="1015"/>
          <w:ilvl w:val="0"/>
        </w:numPr>
      </w:pPr>
      <w:r>
        <w:t xml:space="preserve">GREEN BONDS - Mr Green Bond @ SEB</w:t>
      </w:r>
    </w:p>
    <w:p>
      <w:pPr>
        <w:numPr>
          <w:numId w:val="1016"/>
          <w:ilvl w:val="1"/>
        </w:numPr>
      </w:pPr>
      <w:r>
        <w:t xml:space="preserve">In 2013 the total cumulative issurance rose to 19 bill USD</w:t>
      </w:r>
    </w:p>
    <w:p>
      <w:pPr>
        <w:numPr>
          <w:numId w:val="1016"/>
          <w:ilvl w:val="1"/>
        </w:numPr>
      </w:pPr>
      <w:r>
        <w:t xml:space="preserve">In 2014 SEB issed green bonds at a total value of 3.8 bill USD</w:t>
      </w:r>
    </w:p>
    <w:p>
      <w:pPr>
        <w:numPr>
          <w:numId w:val="1016"/>
          <w:ilvl w:val="1"/>
        </w:numPr>
      </w:pPr>
      <w:r>
        <w:t xml:space="preserve">Case ørebro municipality, stockholm län, gothenburg city</w:t>
      </w:r>
    </w:p>
    <w:p>
      <w:pPr>
        <w:pStyle w:val="Compact"/>
        <w:numPr>
          <w:numId w:val="1016"/>
          <w:ilvl w:val="1"/>
        </w:numPr>
      </w:pPr>
      <w:r>
        <w:t xml:space="preserve">The green bond market has not increased the size of the environmental projects</w:t>
      </w:r>
    </w:p>
    <w:p>
      <w:pPr>
        <w:pStyle w:val="Compact"/>
        <w:numPr>
          <w:numId w:val="1017"/>
          <w:ilvl w:val="2"/>
        </w:numPr>
      </w:pPr>
      <w:r>
        <w:t xml:space="preserve">Instead, the green bond market bundles together all the green projects inorder to diversify the portfolio of lenders</w:t>
      </w:r>
    </w:p>
    <w:p>
      <w:pPr>
        <w:pStyle w:val="Compact"/>
        <w:numPr>
          <w:numId w:val="1016"/>
          <w:ilvl w:val="1"/>
        </w:numPr>
      </w:pPr>
      <w:r>
        <w:t xml:space="preserve">Key features</w:t>
      </w:r>
    </w:p>
    <w:p>
      <w:pPr>
        <w:pStyle w:val="Compact"/>
        <w:numPr>
          <w:numId w:val="1018"/>
          <w:ilvl w:val="2"/>
        </w:numPr>
      </w:pPr>
      <w:r>
        <w:t xml:space="preserve">Transparency</w:t>
      </w:r>
    </w:p>
    <w:p>
      <w:pPr>
        <w:pStyle w:val="Compact"/>
        <w:numPr>
          <w:numId w:val="1018"/>
          <w:ilvl w:val="2"/>
        </w:numPr>
      </w:pPr>
      <w:r>
        <w:t xml:space="preserve">Reporting</w:t>
      </w:r>
    </w:p>
    <w:p>
      <w:pPr>
        <w:pStyle w:val="Compact"/>
        <w:numPr>
          <w:numId w:val="1018"/>
          <w:ilvl w:val="2"/>
        </w:numPr>
      </w:pPr>
      <w:r>
        <w:t xml:space="preserve">Third party verification</w:t>
      </w:r>
    </w:p>
    <w:p>
      <w:pPr>
        <w:pStyle w:val="Compact"/>
        <w:numPr>
          <w:numId w:val="1016"/>
          <w:ilvl w:val="1"/>
        </w:numPr>
      </w:pPr>
      <w:r>
        <w:t xml:space="preserve">Question</w:t>
      </w:r>
    </w:p>
    <w:p>
      <w:pPr>
        <w:pStyle w:val="Compact"/>
        <w:numPr>
          <w:numId w:val="1019"/>
          <w:ilvl w:val="2"/>
        </w:numPr>
      </w:pPr>
      <w:r>
        <w:t xml:space="preserve">Additionality?</w:t>
      </w:r>
    </w:p>
    <w:p>
      <w:pPr>
        <w:numPr>
          <w:numId w:val="1016"/>
          <w:ilvl w:val="1"/>
        </w:numPr>
      </w:pPr>
      <w:r>
        <w:t xml:space="preserve">Green bonds also usually has a slightly lower interest rate</w:t>
      </w:r>
    </w:p>
    <w:p>
      <w:pPr>
        <w:numPr>
          <w:numId w:val="1015"/>
          <w:ilvl w:val="0"/>
        </w:numPr>
      </w:pPr>
      <w:r>
        <w:t xml:space="preserve">Government bonds implicated</w:t>
      </w:r>
    </w:p>
    <w:p>
      <w:pPr>
        <w:numPr>
          <w:numId w:val="1020"/>
          <w:ilvl w:val="1"/>
        </w:numPr>
      </w:pPr>
      <w:r>
        <w:t xml:space="preserve">E-risk report by the Global Footprint Network</w:t>
      </w:r>
    </w:p>
    <w:p>
      <w:pPr>
        <w:numPr>
          <w:numId w:val="1020"/>
          <w:ilvl w:val="1"/>
        </w:numPr>
      </w:pPr>
      <w:r>
        <w:t xml:space="preserve">Ecological footprint balance affects import-export balance and the abiility to generate income to pay interests</w:t>
      </w:r>
    </w:p>
    <w:p>
      <w:pPr>
        <w:numPr>
          <w:numId w:val="1015"/>
          <w:ilvl w:val="0"/>
        </w:numPr>
      </w:pPr>
      <w:r>
        <w:t xml:space="preserve">Financing direct positive impact</w:t>
      </w:r>
    </w:p>
    <w:p>
      <w:pPr>
        <w:pStyle w:val="Heading2"/>
      </w:pPr>
      <w:bookmarkStart w:id="30" w:name="section-1"/>
      <w:bookmarkEnd w:id="30"/>
    </w:p>
    <w:p>
      <w:pPr>
        <w:pStyle w:val="Heading3"/>
      </w:pPr>
      <w:bookmarkStart w:id="31" w:name="financial-accounts"/>
      <w:bookmarkEnd w:id="31"/>
      <w:r>
        <w:t xml:space="preserve">Financial accounts</w:t>
      </w:r>
    </w:p>
    <w:p>
      <w:pPr>
        <w:pStyle w:val="Compact"/>
        <w:numPr>
          <w:numId w:val="1021"/>
          <w:ilvl w:val="0"/>
        </w:numPr>
      </w:pPr>
      <w:r>
        <w:t xml:space="preserve">Valuing negative (and positive) externalities - shadow pricing - to ultimately incorporate in business balance sheets.</w:t>
      </w:r>
    </w:p>
    <w:p>
      <w:pPr>
        <w:pStyle w:val="Compact"/>
        <w:numPr>
          <w:numId w:val="1021"/>
          <w:ilvl w:val="0"/>
        </w:numPr>
      </w:pPr>
      <w:r>
        <w:t xml:space="preserve">Case example - PUMA</w:t>
      </w:r>
    </w:p>
    <w:p>
      <w:pPr>
        <w:pStyle w:val="Heading2"/>
      </w:pPr>
      <w:bookmarkStart w:id="32" w:name="section-2"/>
      <w:bookmarkEnd w:id="32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resources"/>
      <w:bookmarkEnd w:id="33"/>
      <w:r>
        <w:t xml:space="preserve">RESOURCES</w:t>
      </w:r>
    </w:p>
    <w:p>
      <w:pPr>
        <w:numPr>
          <w:numId w:val="1022"/>
          <w:ilvl w:val="0"/>
        </w:numPr>
      </w:pPr>
      <w:r>
        <w:rPr>
          <w:b/>
        </w:rPr>
        <w:t xml:space="preserve">Natural capital declaration</w:t>
      </w:r>
    </w:p>
    <w:p>
      <w:pPr>
        <w:numPr>
          <w:numId w:val="1022"/>
          <w:ilvl w:val="0"/>
        </w:numPr>
      </w:pPr>
      <w:r>
        <w:t xml:space="preserve">40+ financial institutions collaborate to - increase awareness - develop methodologies - build consensus for private sector accounting and integrated reporting</w:t>
      </w:r>
    </w:p>
    <w:p>
      <w:pPr>
        <w:numPr>
          <w:numId w:val="1022"/>
          <w:ilvl w:val="0"/>
        </w:numPr>
      </w:pPr>
      <w:r>
        <w:rPr>
          <w:b/>
        </w:rPr>
        <w:t xml:space="preserve">Corporate assessments</w:t>
      </w:r>
    </w:p>
    <w:p>
      <w:pPr>
        <w:pStyle w:val="Compact"/>
        <w:numPr>
          <w:numId w:val="1023"/>
          <w:ilvl w:val="1"/>
        </w:numPr>
      </w:pPr>
      <w:r>
        <w:t xml:space="preserve">Natural capital coalition</w:t>
      </w:r>
    </w:p>
    <w:p>
      <w:pPr>
        <w:numPr>
          <w:numId w:val="1022"/>
          <w:ilvl w:val="0"/>
        </w:numPr>
      </w:pPr>
      <w:r>
        <w:rPr>
          <w:b/>
        </w:rPr>
        <w:t xml:space="preserve">Corportate reportting &amp; disclosure</w:t>
      </w:r>
    </w:p>
    <w:p>
      <w:pPr>
        <w:pStyle w:val="Heading2"/>
      </w:pPr>
      <w:bookmarkStart w:id="34" w:name="section-3"/>
      <w:bookmarkEnd w:id="34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conclusion"/>
      <w:bookmarkEnd w:id="35"/>
      <w:r>
        <w:t xml:space="preserve">CONCLUSION</w:t>
      </w:r>
    </w:p>
    <w:p>
      <w:pPr>
        <w:pStyle w:val="Heading3"/>
      </w:pPr>
      <w:bookmarkStart w:id="36" w:name="how-can-fis-contribute"/>
      <w:bookmarkEnd w:id="36"/>
      <w:r>
        <w:t xml:space="preserve">How can FIs contribute</w:t>
      </w:r>
    </w:p>
    <w:p>
      <w:pPr>
        <w:pStyle w:val="Compact"/>
        <w:numPr>
          <w:numId w:val="1024"/>
          <w:ilvl w:val="0"/>
        </w:numPr>
      </w:pPr>
      <w:r>
        <w:t xml:space="preserve">A long list (get slide)</w:t>
      </w:r>
    </w:p>
    <w:p>
      <w:pPr>
        <w:pStyle w:val="Heading2"/>
      </w:pPr>
      <w:bookmarkStart w:id="37" w:name="section-4"/>
      <w:bookmarkEnd w:id="37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disucssion"/>
      <w:bookmarkEnd w:id="38"/>
      <w:r>
        <w:t xml:space="preserve">DISUCSSION</w:t>
      </w:r>
    </w:p>
    <w:p>
      <w:pPr>
        <w:pStyle w:val="Compact"/>
        <w:numPr>
          <w:numId w:val="1025"/>
          <w:ilvl w:val="0"/>
        </w:numPr>
      </w:pPr>
      <w:r>
        <w:t xml:space="preserve">Identifying iniatives of new paradigm and old paradigm</w:t>
      </w:r>
    </w:p>
    <w:p>
      <w:pPr>
        <w:pStyle w:val="Compact"/>
        <w:numPr>
          <w:numId w:val="1026"/>
          <w:ilvl w:val="1"/>
        </w:numPr>
      </w:pPr>
      <w:r>
        <w:t xml:space="preserve">Initiatives of new paradigm often start at small scale (e.g. investing for impact)</w:t>
      </w:r>
    </w:p>
    <w:p>
      <w:pPr>
        <w:pStyle w:val="Compact"/>
        <w:numPr>
          <w:numId w:val="1026"/>
          <w:ilvl w:val="1"/>
        </w:numPr>
      </w:pPr>
      <w:r>
        <w:t xml:space="preserve">When they try to scale up, maybe they get incorporated in old paradigm</w:t>
      </w:r>
    </w:p>
    <w:p>
      <w:pPr>
        <w:pStyle w:val="Heading2"/>
      </w:pPr>
      <w:bookmarkStart w:id="39" w:name="section-5"/>
      <w:bookmarkEnd w:id="39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references"/>
      <w:bookmarkEnd w:id="40"/>
      <w:r>
        <w:t xml:space="preserve">References</w:t>
      </w:r>
    </w:p>
    <w:p>
      <w:r>
        <w:t xml:space="preserve">None</w:t>
      </w:r>
    </w:p>
    <w:sectPr w:rsidR="004460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927C9B3"/>
    <w:multiLevelType w:val="multilevel"/>
    <w:tmpl w:val="AEBA82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27E8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052CE7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668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62679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E1423F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EB48E1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FCF6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62A75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C946C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2A88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9418C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d3e218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73f1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BC74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Heading">
    <w:name w:val="TOC Heading"/>
    <w:basedOn w:val="Heading1"/>
    <w:next w:val="Normal"/>
    <w:unhideWhenUsed/>
    <w:rsid w:val="00BC7445"/>
    <w:pPr>
      <w:spacing w:before="240"/>
      <w:outlineLvl w:val="9"/>
    </w:pPr>
    <w:rPr>
      <w:b w:val="0"/>
      <w:bCs w:val="0"/>
      <w:color w:val="365F91" w:themeColor="accent1" w:themeShade="BF"/>
    </w:rPr>
  </w:style>
  <w:style w:type="character" w:customStyle="1" w:styleId="BodyTextChar1">
    <w:name w:val="Body Text Char1"/>
    <w:basedOn w:val="DefaultParagraphFont"/>
    <w:link w:val="BodyText"/>
    <w:rsid w:val="00BC744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and sustainability crash course - session 2</dc:title>
  <dc:creator/>
</cp:coreProperties>
</file>