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04F38" w14:textId="77777777" w:rsidR="000C1C4A" w:rsidRDefault="000C1C4A" w:rsidP="000C1C4A">
      <w:pPr>
        <w:pStyle w:val="Heading1"/>
        <w:spacing w:line="480" w:lineRule="auto"/>
        <w:rPr>
          <w:sz w:val="24"/>
          <w:szCs w:val="24"/>
        </w:rPr>
      </w:pPr>
      <w:bookmarkStart w:id="0" w:name="_i53kole4xpzk" w:colFirst="0" w:colLast="0"/>
      <w:bookmarkEnd w:id="0"/>
      <w:r>
        <w:t>Supplementary Figures</w:t>
      </w:r>
    </w:p>
    <w:p w14:paraId="6DFBE9EA" w14:textId="77777777" w:rsidR="000C1C4A" w:rsidRDefault="000C1C4A" w:rsidP="000C1C4A">
      <w:pPr>
        <w:spacing w:line="480" w:lineRule="auto"/>
        <w:rPr>
          <w:b/>
          <w:bCs/>
          <w:sz w:val="24"/>
          <w:szCs w:val="24"/>
        </w:rPr>
      </w:pPr>
      <w:r w:rsidRPr="002A5A04">
        <w:rPr>
          <w:sz w:val="24"/>
          <w:szCs w:val="24"/>
        </w:rPr>
        <w:t>Supplementary Figure S1</w:t>
      </w:r>
      <w:r>
        <w:rPr>
          <w:sz w:val="24"/>
          <w:szCs w:val="24"/>
        </w:rPr>
        <w:t xml:space="preserve">: Illustration of a </w:t>
      </w:r>
      <w:proofErr w:type="gramStart"/>
      <w:r>
        <w:rPr>
          <w:sz w:val="24"/>
          <w:szCs w:val="24"/>
        </w:rPr>
        <w:t>4 year old</w:t>
      </w:r>
      <w:proofErr w:type="gramEnd"/>
      <w:r>
        <w:rPr>
          <w:sz w:val="24"/>
          <w:szCs w:val="24"/>
        </w:rPr>
        <w:t xml:space="preserve"> chum salmon scale, showing the anterior and posterior regions and other common features: summer growth zone (orange line), winter growth zones (blue dots), and a single circulus (red dot).</w:t>
      </w:r>
    </w:p>
    <w:p w14:paraId="7449964A" w14:textId="77777777" w:rsidR="000C1C4A" w:rsidRDefault="000C1C4A" w:rsidP="000C1C4A">
      <w:pPr>
        <w:spacing w:after="160" w:line="480" w:lineRule="auto"/>
        <w:jc w:val="left"/>
        <w:rPr>
          <w:sz w:val="24"/>
          <w:szCs w:val="24"/>
          <w:highlight w:val="white"/>
        </w:rPr>
      </w:pPr>
      <w:r w:rsidRPr="002A5A04">
        <w:rPr>
          <w:sz w:val="24"/>
          <w:szCs w:val="24"/>
        </w:rPr>
        <w:t>Supplementary Figure S2</w:t>
      </w:r>
      <w:r>
        <w:rPr>
          <w:sz w:val="24"/>
          <w:szCs w:val="24"/>
        </w:rPr>
        <w:t xml:space="preserve">: </w:t>
      </w:r>
      <w:r>
        <w:rPr>
          <w:sz w:val="24"/>
          <w:szCs w:val="24"/>
          <w:highlight w:val="white"/>
        </w:rPr>
        <w:t xml:space="preserve">Illustrates the location of compressed </w:t>
      </w:r>
      <w:proofErr w:type="spellStart"/>
      <w:r>
        <w:rPr>
          <w:sz w:val="24"/>
          <w:szCs w:val="24"/>
          <w:highlight w:val="white"/>
        </w:rPr>
        <w:t>circuli</w:t>
      </w:r>
      <w:proofErr w:type="spellEnd"/>
      <w:r>
        <w:rPr>
          <w:sz w:val="24"/>
          <w:szCs w:val="24"/>
          <w:highlight w:val="white"/>
        </w:rPr>
        <w:t xml:space="preserve"> which is a result of reduced growth typically occurring in winter. Grouped together these compressed </w:t>
      </w:r>
      <w:proofErr w:type="spellStart"/>
      <w:r>
        <w:rPr>
          <w:sz w:val="24"/>
          <w:szCs w:val="24"/>
          <w:highlight w:val="white"/>
        </w:rPr>
        <w:t>circuli</w:t>
      </w:r>
      <w:proofErr w:type="spellEnd"/>
      <w:r>
        <w:rPr>
          <w:sz w:val="24"/>
          <w:szCs w:val="24"/>
          <w:highlight w:val="white"/>
        </w:rPr>
        <w:t xml:space="preserve"> are referred to as an annulus. Images A, B and C demonstrate age classes one, four and six respectively.</w:t>
      </w:r>
    </w:p>
    <w:p w14:paraId="46177E75" w14:textId="77777777" w:rsidR="000C1C4A" w:rsidRDefault="000C1C4A" w:rsidP="000C1C4A">
      <w:pPr>
        <w:spacing w:before="240" w:after="240" w:line="480" w:lineRule="auto"/>
        <w:jc w:val="left"/>
        <w:rPr>
          <w:sz w:val="24"/>
          <w:szCs w:val="24"/>
          <w:highlight w:val="white"/>
        </w:rPr>
      </w:pPr>
      <w:r w:rsidRPr="002A5A04">
        <w:rPr>
          <w:sz w:val="24"/>
          <w:szCs w:val="24"/>
        </w:rPr>
        <w:t>Supplementary Figure S3</w:t>
      </w:r>
      <w:r>
        <w:rPr>
          <w:sz w:val="24"/>
          <w:szCs w:val="24"/>
        </w:rPr>
        <w:t>: Data flow diagram showing the workflow used to develop and evaluate the chum salmon age-estimation models, including image filtering, SAM and YOLO preprocessing, CNN training, ensemble predictions, and comparison with expert ages.</w:t>
      </w:r>
    </w:p>
    <w:p w14:paraId="0E5B25CC" w14:textId="77777777" w:rsidR="000C1C4A" w:rsidRDefault="000C1C4A" w:rsidP="000C1C4A">
      <w:pPr>
        <w:spacing w:before="240" w:after="240" w:line="480" w:lineRule="auto"/>
        <w:jc w:val="left"/>
        <w:rPr>
          <w:sz w:val="24"/>
          <w:szCs w:val="24"/>
        </w:rPr>
      </w:pPr>
      <w:r w:rsidRPr="002A5A04">
        <w:rPr>
          <w:sz w:val="24"/>
          <w:szCs w:val="24"/>
        </w:rPr>
        <w:t>Supplementary Figure S4</w:t>
      </w:r>
      <w:r>
        <w:rPr>
          <w:sz w:val="24"/>
          <w:szCs w:val="24"/>
        </w:rPr>
        <w:t xml:space="preserve">: Illustration of a chum salmon scale showing the most common scale conditions affecting interpretation of the growth pattern. A) Checks, or false annual growth </w:t>
      </w:r>
      <w:proofErr w:type="gramStart"/>
      <w:r>
        <w:rPr>
          <w:sz w:val="24"/>
          <w:szCs w:val="24"/>
        </w:rPr>
        <w:t>zones,  B</w:t>
      </w:r>
      <w:proofErr w:type="gramEnd"/>
      <w:r>
        <w:rPr>
          <w:sz w:val="24"/>
          <w:szCs w:val="24"/>
        </w:rPr>
        <w:t xml:space="preserve">) Regeneration, and C) Resorption. </w:t>
      </w:r>
    </w:p>
    <w:p w14:paraId="59C5CE09" w14:textId="77777777" w:rsidR="000C1C4A" w:rsidRDefault="000C1C4A" w:rsidP="000C1C4A">
      <w:pPr>
        <w:spacing w:line="480" w:lineRule="auto"/>
        <w:jc w:val="left"/>
      </w:pPr>
      <w:r w:rsidRPr="002A5A04">
        <w:rPr>
          <w:sz w:val="24"/>
          <w:szCs w:val="24"/>
        </w:rPr>
        <w:t>Supplementary Figure S5</w:t>
      </w:r>
      <w:r>
        <w:rPr>
          <w:sz w:val="24"/>
          <w:szCs w:val="24"/>
        </w:rPr>
        <w:t xml:space="preserve">. Example of augmentation showing potential types of distortions applied to an original SAM image of a chum salmon scale as the model learns during each epoch. </w:t>
      </w:r>
    </w:p>
    <w:p w14:paraId="147E21B0" w14:textId="77777777" w:rsidR="000C1C4A" w:rsidRDefault="000C1C4A" w:rsidP="000C1C4A">
      <w:pPr>
        <w:pStyle w:val="Heading1"/>
        <w:spacing w:line="480" w:lineRule="auto"/>
        <w:rPr>
          <w:color w:val="000000"/>
        </w:rPr>
      </w:pPr>
      <w:bookmarkStart w:id="1" w:name="_1zlsvg3lk81e" w:colFirst="0" w:colLast="0"/>
      <w:bookmarkEnd w:id="1"/>
    </w:p>
    <w:p w14:paraId="45DF1E6D" w14:textId="77777777" w:rsidR="000C1C4A" w:rsidRDefault="000C1C4A" w:rsidP="000C1C4A"/>
    <w:p w14:paraId="51AADEA4" w14:textId="77777777" w:rsidR="000C1C4A" w:rsidRDefault="000C1C4A" w:rsidP="000C1C4A">
      <w:pPr>
        <w:pStyle w:val="Heading1"/>
        <w:spacing w:line="480" w:lineRule="auto"/>
        <w:rPr>
          <w:color w:val="000000"/>
        </w:rPr>
      </w:pPr>
      <w:bookmarkStart w:id="2" w:name="_20zo98zfusdx" w:colFirst="0" w:colLast="0"/>
      <w:bookmarkEnd w:id="2"/>
      <w:r>
        <w:rPr>
          <w:color w:val="000000"/>
        </w:rPr>
        <w:lastRenderedPageBreak/>
        <w:t>Supplemental Text</w:t>
      </w:r>
    </w:p>
    <w:p w14:paraId="232C1F8F" w14:textId="77777777" w:rsidR="000C1C4A" w:rsidRDefault="000C1C4A" w:rsidP="000C1C4A">
      <w:pPr>
        <w:pStyle w:val="Heading2"/>
        <w:spacing w:line="480" w:lineRule="auto"/>
      </w:pPr>
      <w:bookmarkStart w:id="3" w:name="_kmp0z1d3agiz" w:colFirst="0" w:colLast="0"/>
      <w:bookmarkEnd w:id="3"/>
      <w:r>
        <w:rPr>
          <w:color w:val="000000"/>
        </w:rPr>
        <w:t>Agency scale datasets</w:t>
      </w:r>
    </w:p>
    <w:p w14:paraId="6EC36C97" w14:textId="77777777" w:rsidR="000C1C4A" w:rsidRDefault="000C1C4A" w:rsidP="000C1C4A">
      <w:pPr>
        <w:spacing w:line="480" w:lineRule="auto"/>
        <w:jc w:val="left"/>
        <w:rPr>
          <w:sz w:val="24"/>
          <w:szCs w:val="24"/>
        </w:rPr>
      </w:pPr>
      <w:r>
        <w:rPr>
          <w:sz w:val="24"/>
          <w:szCs w:val="24"/>
        </w:rPr>
        <w:t xml:space="preserve">NOAA scale collections were collected from immature chum salmon caught as bycatch during 2011–2021 in the Bering Sea and Aleutian Islands midwater pollock trawl fishery and were sampled by the North Pacific Observer Program (Alaska Fisheries Science Center 2025). These fish originated from populations across the North Pacific rim (Barry et al. 2022). Scale impressions were digitized by GET Imaging, Inc. (Edmond, OK) and age estimates were produced by skilled age readers for 12,601 chum salmon. Most chum salmon encountered as bycatch were ages 3, 4, and 5 (Appendix Table A1). </w:t>
      </w:r>
    </w:p>
    <w:p w14:paraId="5A29CD2C" w14:textId="77777777" w:rsidR="000C1C4A" w:rsidRDefault="000C1C4A" w:rsidP="000C1C4A">
      <w:pPr>
        <w:spacing w:line="480" w:lineRule="auto"/>
        <w:jc w:val="left"/>
        <w:rPr>
          <w:sz w:val="24"/>
          <w:szCs w:val="24"/>
        </w:rPr>
      </w:pPr>
      <w:r>
        <w:rPr>
          <w:sz w:val="24"/>
          <w:szCs w:val="24"/>
        </w:rPr>
        <w:t xml:space="preserve">ADF&amp;G scale collections represent 50,241 mature salmon harvested from 1964–2014 in commercial fisheries from ten different river systems across Alaska. Most images represent the dominant ages 4 and 5 (Appendix Table A1). These scales were digitized as part of several long-term scale retrospective analyses (Agler et al. 2013; Agler 2012; Knudsen et al. 2021) and the images maintained in the ADF&amp;G scale archive. The ADF&amp;G collection also included age 6 scales collected during 2015–2022 from Southeast Alaska carcass surveys as part of a long-term research project (Alaska Hatchery Research Program; http://www.adfg.alaska.gov/index.cfm?adfg=fishingHatcheriesResearch.main). Scales were collected by port samplers across multiple fishing gear types and districts. Older collections of acetate scale impressions were digitized using a </w:t>
      </w:r>
      <w:proofErr w:type="spellStart"/>
      <w:r>
        <w:rPr>
          <w:sz w:val="24"/>
          <w:szCs w:val="24"/>
        </w:rPr>
        <w:t>Screenscan</w:t>
      </w:r>
      <w:proofErr w:type="spellEnd"/>
      <w:r>
        <w:rPr>
          <w:sz w:val="24"/>
          <w:szCs w:val="24"/>
        </w:rPr>
        <w:t xml:space="preserve"> Microfiche Scanner attached to a </w:t>
      </w:r>
      <w:proofErr w:type="gramStart"/>
      <w:r>
        <w:rPr>
          <w:sz w:val="24"/>
          <w:szCs w:val="24"/>
        </w:rPr>
        <w:t>4601 microfiche</w:t>
      </w:r>
      <w:proofErr w:type="gramEnd"/>
      <w:r>
        <w:rPr>
          <w:sz w:val="24"/>
          <w:szCs w:val="24"/>
        </w:rPr>
        <w:t xml:space="preserve"> reader, whereas recent collections were digitized using a Nikon Ti-2E </w:t>
      </w:r>
      <w:r>
        <w:rPr>
          <w:sz w:val="24"/>
          <w:szCs w:val="24"/>
        </w:rPr>
        <w:lastRenderedPageBreak/>
        <w:t xml:space="preserve">Automated Live Cell Inverted Microscope equipped with a DS-Ri2 Color CMOS camera. Age estimates were produced in-season by regional staff (Appendix Table A1). </w:t>
      </w:r>
    </w:p>
    <w:p w14:paraId="10B0F59E" w14:textId="77777777" w:rsidR="000C1C4A" w:rsidRDefault="000C1C4A" w:rsidP="000C1C4A">
      <w:pPr>
        <w:spacing w:line="480" w:lineRule="auto"/>
        <w:jc w:val="left"/>
        <w:rPr>
          <w:sz w:val="24"/>
          <w:szCs w:val="24"/>
        </w:rPr>
      </w:pPr>
      <w:r>
        <w:rPr>
          <w:sz w:val="24"/>
          <w:szCs w:val="24"/>
        </w:rPr>
        <w:t xml:space="preserve">Scales from NSRAA represent chum salmon reared at NSRAA hatcheries that were collected during routine sampling of commercial salmon harvest and test fisheries from 2019–2024, as well as from fish returning to the hatchery during those years. These chum salmon originated from the </w:t>
      </w:r>
      <w:proofErr w:type="spellStart"/>
      <w:r>
        <w:rPr>
          <w:sz w:val="24"/>
          <w:szCs w:val="24"/>
        </w:rPr>
        <w:t>Nakwasina</w:t>
      </w:r>
      <w:proofErr w:type="spellEnd"/>
      <w:r>
        <w:rPr>
          <w:sz w:val="24"/>
          <w:szCs w:val="24"/>
        </w:rPr>
        <w:t xml:space="preserve"> and </w:t>
      </w:r>
      <w:proofErr w:type="spellStart"/>
      <w:r>
        <w:rPr>
          <w:sz w:val="24"/>
          <w:szCs w:val="24"/>
        </w:rPr>
        <w:t>Kadashan</w:t>
      </w:r>
      <w:proofErr w:type="spellEnd"/>
      <w:r>
        <w:rPr>
          <w:sz w:val="24"/>
          <w:szCs w:val="24"/>
        </w:rPr>
        <w:t xml:space="preserve"> rivers in Southeast Alaska. Acetate scale impressions were digitized using a Canon Microfilm Scanner 300II. The 597 scale images represented ages 3, 4, 5, and 6 (Appendix Table A1). </w:t>
      </w:r>
    </w:p>
    <w:p w14:paraId="6FCB5FB3" w14:textId="77777777" w:rsidR="000C1C4A" w:rsidRDefault="000C1C4A" w:rsidP="000C1C4A">
      <w:pPr>
        <w:spacing w:before="240" w:after="240" w:line="480" w:lineRule="auto"/>
        <w:jc w:val="left"/>
        <w:rPr>
          <w:sz w:val="24"/>
          <w:szCs w:val="24"/>
          <w:highlight w:val="white"/>
        </w:rPr>
      </w:pPr>
      <w:r>
        <w:rPr>
          <w:sz w:val="24"/>
          <w:szCs w:val="24"/>
          <w:highlight w:val="white"/>
        </w:rPr>
        <w:t xml:space="preserve">The DFO collection of 2,698 scale images </w:t>
      </w:r>
      <w:proofErr w:type="gramStart"/>
      <w:r>
        <w:rPr>
          <w:sz w:val="24"/>
          <w:szCs w:val="24"/>
          <w:highlight w:val="white"/>
        </w:rPr>
        <w:t>were</w:t>
      </w:r>
      <w:proofErr w:type="gramEnd"/>
      <w:r>
        <w:rPr>
          <w:sz w:val="24"/>
          <w:szCs w:val="24"/>
          <w:highlight w:val="white"/>
        </w:rPr>
        <w:t xml:space="preserve"> selected to increase the representation of infrequently caught age classes. The High Seas Salmon survey provided images of ages 1</w:t>
      </w:r>
      <w:r>
        <w:rPr>
          <w:sz w:val="24"/>
          <w:szCs w:val="24"/>
          <w:highlight w:val="white"/>
          <w:vertAlign w:val="subscript"/>
        </w:rPr>
        <w:t xml:space="preserve"> </w:t>
      </w:r>
      <w:r>
        <w:rPr>
          <w:sz w:val="24"/>
          <w:szCs w:val="24"/>
          <w:highlight w:val="white"/>
        </w:rPr>
        <w:t>and 2</w:t>
      </w:r>
      <w:r>
        <w:rPr>
          <w:sz w:val="24"/>
          <w:szCs w:val="24"/>
          <w:highlight w:val="white"/>
          <w:vertAlign w:val="subscript"/>
        </w:rPr>
        <w:t xml:space="preserve"> </w:t>
      </w:r>
      <w:r>
        <w:rPr>
          <w:sz w:val="24"/>
          <w:szCs w:val="24"/>
          <w:highlight w:val="white"/>
        </w:rPr>
        <w:t>collected during 2002, 2004–2007, 2009 and 2011. Scale images representing age classes 5, 6 and 7</w:t>
      </w:r>
      <w:r>
        <w:rPr>
          <w:sz w:val="24"/>
          <w:szCs w:val="24"/>
          <w:highlight w:val="white"/>
          <w:vertAlign w:val="subscript"/>
        </w:rPr>
        <w:t xml:space="preserve"> </w:t>
      </w:r>
      <w:r>
        <w:rPr>
          <w:sz w:val="24"/>
          <w:szCs w:val="24"/>
          <w:highlight w:val="white"/>
        </w:rPr>
        <w:t xml:space="preserve">came from sampling programs across British Columbia from 1992–2022. Acetate scale impressions were digitized with a Leica M80 dissection microscope mounted with the Leica IC90E camera. </w:t>
      </w:r>
    </w:p>
    <w:p w14:paraId="682343CC" w14:textId="77777777" w:rsidR="000C1C4A" w:rsidRDefault="000C1C4A" w:rsidP="000C1C4A">
      <w:pPr>
        <w:spacing w:line="480" w:lineRule="auto"/>
        <w:jc w:val="left"/>
        <w:rPr>
          <w:sz w:val="32"/>
          <w:szCs w:val="32"/>
        </w:rPr>
      </w:pPr>
      <w:r>
        <w:rPr>
          <w:sz w:val="32"/>
          <w:szCs w:val="32"/>
        </w:rPr>
        <w:t>CNN Models</w:t>
      </w:r>
    </w:p>
    <w:p w14:paraId="2BECC6FF" w14:textId="77777777" w:rsidR="000C1C4A" w:rsidRDefault="000C1C4A" w:rsidP="000C1C4A">
      <w:pPr>
        <w:spacing w:before="240" w:after="240" w:line="480" w:lineRule="auto"/>
        <w:jc w:val="left"/>
        <w:rPr>
          <w:sz w:val="32"/>
          <w:szCs w:val="32"/>
        </w:rPr>
      </w:pPr>
      <w:r>
        <w:rPr>
          <w:sz w:val="24"/>
          <w:szCs w:val="24"/>
          <w:highlight w:val="white"/>
        </w:rPr>
        <w:t xml:space="preserve">The main components of a CNN are </w:t>
      </w:r>
      <w:proofErr w:type="gramStart"/>
      <w:r>
        <w:rPr>
          <w:sz w:val="24"/>
          <w:szCs w:val="24"/>
          <w:highlight w:val="white"/>
        </w:rPr>
        <w:t>the convolutional</w:t>
      </w:r>
      <w:proofErr w:type="gramEnd"/>
      <w:r>
        <w:rPr>
          <w:sz w:val="24"/>
          <w:szCs w:val="24"/>
          <w:highlight w:val="white"/>
        </w:rPr>
        <w:t xml:space="preserve"> layers, pooling layers, and fully connected dense layers. Within the network, the convolutional layers learn details, such as patterns and shapes, and the pooling layers</w:t>
      </w:r>
      <w:r>
        <w:rPr>
          <w:sz w:val="24"/>
          <w:szCs w:val="24"/>
        </w:rPr>
        <w:t xml:space="preserve"> </w:t>
      </w:r>
      <w:proofErr w:type="spellStart"/>
      <w:r>
        <w:rPr>
          <w:sz w:val="24"/>
          <w:szCs w:val="24"/>
        </w:rPr>
        <w:t>downsample</w:t>
      </w:r>
      <w:proofErr w:type="spellEnd"/>
      <w:r>
        <w:rPr>
          <w:sz w:val="24"/>
          <w:szCs w:val="24"/>
        </w:rPr>
        <w:t xml:space="preserve"> the t</w:t>
      </w:r>
      <w:r>
        <w:rPr>
          <w:sz w:val="24"/>
          <w:szCs w:val="24"/>
          <w:highlight w:val="white"/>
        </w:rPr>
        <w:t xml:space="preserve">hree-dimensional arrays, known as feature maps, to retain the most important information (James et al. 2023). Activation functions, which are usually non-linear, are an important component of the convolutional layers. They allow the models to learn complex patterns, especially nonlinear relationships and interaction effects </w:t>
      </w:r>
      <w:r>
        <w:rPr>
          <w:sz w:val="24"/>
          <w:szCs w:val="24"/>
          <w:highlight w:val="white"/>
        </w:rPr>
        <w:lastRenderedPageBreak/>
        <w:t>(James et al. 2023). The final feature maps, at the top of the network, are commonly vectorized into a one-dimensional array by either fully flattening the features, which maintains all values but creates high dimensionality, or by using global average pooling (GAP), which computes the mean of each feature map before feeding the input to the fully connected dense layers (</w:t>
      </w:r>
      <w:proofErr w:type="spellStart"/>
      <w:r>
        <w:rPr>
          <w:sz w:val="24"/>
          <w:szCs w:val="24"/>
        </w:rPr>
        <w:t>Géron</w:t>
      </w:r>
      <w:proofErr w:type="spellEnd"/>
      <w:r>
        <w:rPr>
          <w:sz w:val="24"/>
          <w:szCs w:val="24"/>
        </w:rPr>
        <w:t xml:space="preserve"> 2019).</w:t>
      </w:r>
    </w:p>
    <w:p w14:paraId="359AEEF7" w14:textId="77777777" w:rsidR="000C1C4A" w:rsidRDefault="000C1C4A" w:rsidP="000C1C4A">
      <w:pPr>
        <w:spacing w:line="480" w:lineRule="auto"/>
        <w:jc w:val="left"/>
        <w:rPr>
          <w:sz w:val="24"/>
          <w:szCs w:val="24"/>
        </w:rPr>
      </w:pPr>
      <w:r>
        <w:rPr>
          <w:sz w:val="24"/>
          <w:szCs w:val="24"/>
        </w:rPr>
        <w:t>All models had built-in activation functions within the convolutional layers. We chose the rectified linear unit (</w:t>
      </w:r>
      <w:proofErr w:type="spellStart"/>
      <w:r>
        <w:rPr>
          <w:sz w:val="24"/>
          <w:szCs w:val="24"/>
        </w:rPr>
        <w:t>ReLU</w:t>
      </w:r>
      <w:proofErr w:type="spellEnd"/>
      <w:r>
        <w:rPr>
          <w:sz w:val="24"/>
          <w:szCs w:val="24"/>
        </w:rPr>
        <w:t xml:space="preserve">) for the initial fully connected layer, as well as adaptive moment estimation (Adam) for the optimizer for all trainable layers, small batch size (16), and a relatively low initial learning rate (1e-4) (Appendix Table A2). Additionally, we used both available GPUs on Skynet to speed up training by deploying TensorFlow's distributed mirrored strategy, along with an image augmentation approach. Augmentation provides learning models with more training data by creating multiple distorted versions of each image (Figure S5; James et al. 2023). This strategy increases training data, aids in preventing overfitting, and is regarded as a type of regularization (James et al. 2023). For our training, we limited the types of distortions to make sure the key sections of the scales were visible to the models (Figure S5). At the end of an epoch, one complete iteration of the training data through the entire network, the model is evaluated on the unseen validation data. The </w:t>
      </w:r>
      <w:proofErr w:type="spellStart"/>
      <w:r>
        <w:rPr>
          <w:sz w:val="24"/>
          <w:szCs w:val="24"/>
        </w:rPr>
        <w:t>ReduceLROnPlateau</w:t>
      </w:r>
      <w:proofErr w:type="spellEnd"/>
      <w:r>
        <w:rPr>
          <w:sz w:val="24"/>
          <w:szCs w:val="24"/>
        </w:rPr>
        <w:t xml:space="preserve"> callback function is used for this evaluation to determine if the learning rate needs to be adjusted. The evaluation is based on the validation loss function, the mean squared error (MSE) combined with the ℓ</w:t>
      </w:r>
      <w:r>
        <w:rPr>
          <w:sz w:val="34"/>
          <w:szCs w:val="34"/>
          <w:vertAlign w:val="subscript"/>
        </w:rPr>
        <w:t>2</w:t>
      </w:r>
      <w:r>
        <w:rPr>
          <w:sz w:val="24"/>
          <w:szCs w:val="24"/>
        </w:rPr>
        <w:t xml:space="preserve"> regularization penalty applied to the current model weights. The goal is to control model behavior by reducing the learning rate when the loss function failed to improve over a specified number of epochs and by triggering early stopping when the model began to overfit (</w:t>
      </w:r>
      <w:proofErr w:type="spellStart"/>
      <w:r>
        <w:rPr>
          <w:sz w:val="24"/>
          <w:szCs w:val="24"/>
        </w:rPr>
        <w:t>Géron</w:t>
      </w:r>
      <w:proofErr w:type="spellEnd"/>
      <w:r>
        <w:rPr>
          <w:sz w:val="24"/>
          <w:szCs w:val="24"/>
        </w:rPr>
        <w:t xml:space="preserve"> 2019). </w:t>
      </w:r>
    </w:p>
    <w:p w14:paraId="6FBEE867" w14:textId="22BBADB5" w:rsidR="001D3DF1" w:rsidRPr="000C1C4A" w:rsidRDefault="000C1C4A" w:rsidP="000C1C4A">
      <w:pPr>
        <w:spacing w:line="480" w:lineRule="auto"/>
        <w:jc w:val="left"/>
        <w:rPr>
          <w:sz w:val="24"/>
          <w:szCs w:val="24"/>
        </w:rPr>
      </w:pPr>
      <w:r>
        <w:rPr>
          <w:sz w:val="24"/>
          <w:szCs w:val="24"/>
        </w:rPr>
        <w:lastRenderedPageBreak/>
        <w:t xml:space="preserve">Overfitting was controlled as described above through augmentation and an early stopping function, as well as </w:t>
      </w:r>
      <w:proofErr w:type="gramStart"/>
      <w:r>
        <w:rPr>
          <w:sz w:val="24"/>
          <w:szCs w:val="24"/>
        </w:rPr>
        <w:t>through the use of</w:t>
      </w:r>
      <w:proofErr w:type="gramEnd"/>
      <w:r>
        <w:rPr>
          <w:sz w:val="24"/>
          <w:szCs w:val="24"/>
        </w:rPr>
        <w:t xml:space="preserve"> both ℓ</w:t>
      </w:r>
      <w:r>
        <w:rPr>
          <w:sz w:val="24"/>
          <w:szCs w:val="24"/>
          <w:vertAlign w:val="subscript"/>
        </w:rPr>
        <w:t>2</w:t>
      </w:r>
      <w:r>
        <w:rPr>
          <w:sz w:val="24"/>
          <w:szCs w:val="24"/>
        </w:rPr>
        <w:t xml:space="preserve"> and dropout regularization. The ℓ</w:t>
      </w:r>
      <w:r>
        <w:rPr>
          <w:sz w:val="24"/>
          <w:szCs w:val="24"/>
          <w:vertAlign w:val="subscript"/>
        </w:rPr>
        <w:t xml:space="preserve">2 </w:t>
      </w:r>
      <w:r>
        <w:rPr>
          <w:sz w:val="24"/>
          <w:szCs w:val="24"/>
        </w:rPr>
        <w:t>regularization function (1e-4 rate) was applied at each step during training to help minimize overfitting by penalizing large weights, which limits model complexity and improves generalization. Similarly, at each step, dropout regularization temporarily and randomly deactivated 50 percent of the neurons, helping to prevent co-adaptation on the training data and to build robust networks that generalize better on unseen data (</w:t>
      </w:r>
      <w:proofErr w:type="spellStart"/>
      <w:r>
        <w:rPr>
          <w:sz w:val="24"/>
          <w:szCs w:val="24"/>
        </w:rPr>
        <w:t>Géron</w:t>
      </w:r>
      <w:proofErr w:type="spellEnd"/>
      <w:r>
        <w:rPr>
          <w:sz w:val="24"/>
          <w:szCs w:val="24"/>
        </w:rPr>
        <w:t xml:space="preserve"> 2019).</w:t>
      </w:r>
    </w:p>
    <w:sectPr w:rsidR="001D3DF1" w:rsidRPr="000C1C4A" w:rsidSect="000C1C4A">
      <w:footerReference w:type="default" r:id="rId4"/>
      <w:pgSz w:w="12240" w:h="15840"/>
      <w:pgMar w:top="1440" w:right="1440" w:bottom="1440" w:left="1440" w:header="720" w:footer="720" w:gutter="0"/>
      <w:lnNumType w:countBy="1"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CCD4B" w14:textId="77777777" w:rsidR="000C1C4A" w:rsidRDefault="000C1C4A">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C4A"/>
    <w:rsid w:val="00057661"/>
    <w:rsid w:val="000C1C4A"/>
    <w:rsid w:val="001D3DF1"/>
    <w:rsid w:val="002A7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6BFD4"/>
  <w15:chartTrackingRefBased/>
  <w15:docId w15:val="{7E66C98A-AA3C-4CE6-87D3-9209F3311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C4A"/>
    <w:pPr>
      <w:spacing w:after="200" w:line="276" w:lineRule="auto"/>
      <w:jc w:val="both"/>
    </w:pPr>
    <w:rPr>
      <w:rFonts w:ascii="Times New Roman" w:eastAsia="Times New Roman" w:hAnsi="Times New Roman" w:cs="Times New Roman"/>
      <w:kern w:val="0"/>
      <w:sz w:val="22"/>
      <w:szCs w:val="22"/>
      <w:lang w:val="en"/>
      <w14:ligatures w14:val="none"/>
    </w:rPr>
  </w:style>
  <w:style w:type="paragraph" w:styleId="Heading1">
    <w:name w:val="heading 1"/>
    <w:basedOn w:val="Normal"/>
    <w:next w:val="Normal"/>
    <w:link w:val="Heading1Char"/>
    <w:uiPriority w:val="9"/>
    <w:qFormat/>
    <w:rsid w:val="000C1C4A"/>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0C1C4A"/>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0C1C4A"/>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0C1C4A"/>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0C1C4A"/>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0C1C4A"/>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0C1C4A"/>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0C1C4A"/>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0C1C4A"/>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C4A"/>
    <w:rPr>
      <w:rFonts w:eastAsiaTheme="majorEastAsia" w:cstheme="majorBidi"/>
      <w:color w:val="272727" w:themeColor="text1" w:themeTint="D8"/>
    </w:rPr>
  </w:style>
  <w:style w:type="paragraph" w:styleId="Title">
    <w:name w:val="Title"/>
    <w:basedOn w:val="Normal"/>
    <w:next w:val="Normal"/>
    <w:link w:val="TitleChar"/>
    <w:uiPriority w:val="10"/>
    <w:qFormat/>
    <w:rsid w:val="000C1C4A"/>
    <w:pPr>
      <w:spacing w:after="80" w:line="240" w:lineRule="auto"/>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0C1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C4A"/>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0C1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C4A"/>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0C1C4A"/>
    <w:rPr>
      <w:i/>
      <w:iCs/>
      <w:color w:val="404040" w:themeColor="text1" w:themeTint="BF"/>
    </w:rPr>
  </w:style>
  <w:style w:type="paragraph" w:styleId="ListParagraph">
    <w:name w:val="List Paragraph"/>
    <w:basedOn w:val="Normal"/>
    <w:uiPriority w:val="34"/>
    <w:qFormat/>
    <w:rsid w:val="000C1C4A"/>
    <w:pPr>
      <w:spacing w:after="160" w:line="278" w:lineRule="auto"/>
      <w:ind w:left="720"/>
      <w:contextualSpacing/>
      <w:jc w:val="left"/>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0C1C4A"/>
    <w:rPr>
      <w:i/>
      <w:iCs/>
      <w:color w:val="0F4761" w:themeColor="accent1" w:themeShade="BF"/>
    </w:rPr>
  </w:style>
  <w:style w:type="paragraph" w:styleId="IntenseQuote">
    <w:name w:val="Intense Quote"/>
    <w:basedOn w:val="Normal"/>
    <w:next w:val="Normal"/>
    <w:link w:val="IntenseQuoteChar"/>
    <w:uiPriority w:val="30"/>
    <w:qFormat/>
    <w:rsid w:val="000C1C4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0C1C4A"/>
    <w:rPr>
      <w:i/>
      <w:iCs/>
      <w:color w:val="0F4761" w:themeColor="accent1" w:themeShade="BF"/>
    </w:rPr>
  </w:style>
  <w:style w:type="character" w:styleId="IntenseReference">
    <w:name w:val="Intense Reference"/>
    <w:basedOn w:val="DefaultParagraphFont"/>
    <w:uiPriority w:val="32"/>
    <w:qFormat/>
    <w:rsid w:val="000C1C4A"/>
    <w:rPr>
      <w:b/>
      <w:bCs/>
      <w:smallCaps/>
      <w:color w:val="0F4761" w:themeColor="accent1" w:themeShade="BF"/>
      <w:spacing w:val="5"/>
    </w:rPr>
  </w:style>
  <w:style w:type="character" w:styleId="LineNumber">
    <w:name w:val="line number"/>
    <w:basedOn w:val="DefaultParagraphFont"/>
    <w:uiPriority w:val="99"/>
    <w:semiHidden/>
    <w:unhideWhenUsed/>
    <w:rsid w:val="000C1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1069</Words>
  <Characters>6030</Characters>
  <Application>Microsoft Office Word</Application>
  <DocSecurity>0</DocSecurity>
  <Lines>91</Lines>
  <Paragraphs>21</Paragraphs>
  <ScaleCrop>false</ScaleCrop>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Ames</dc:creator>
  <cp:keywords/>
  <dc:description/>
  <cp:lastModifiedBy>Rob Ames</cp:lastModifiedBy>
  <cp:revision>1</cp:revision>
  <dcterms:created xsi:type="dcterms:W3CDTF">2026-10-06T17:19:00Z</dcterms:created>
  <dcterms:modified xsi:type="dcterms:W3CDTF">2026-10-06T17:21:00Z</dcterms:modified>
</cp:coreProperties>
</file>