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emf" ContentType="image/x-emf"/>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733" w:rsidRDefault="006A6733" w:rsidP="0059070F">
      <w:pPr>
        <w:pStyle w:val="Title"/>
      </w:pPr>
      <w:r>
        <w:t>RESOLUTIONS</w:t>
      </w:r>
      <w:r w:rsidR="0059070F">
        <w:t xml:space="preserve"> OF </w:t>
      </w:r>
      <w:r w:rsidR="00A71272">
        <w:t xml:space="preserve">THE </w:t>
      </w:r>
      <w:r>
        <w:t>BOARD</w:t>
      </w:r>
    </w:p>
    <w:p w:rsidR="0059070F" w:rsidRDefault="006A6733" w:rsidP="0059070F">
      <w:pPr>
        <w:pStyle w:val="Title"/>
      </w:pPr>
      <w:r>
        <w:t xml:space="preserve">AMMENDMENTS TO </w:t>
      </w:r>
      <w:r w:rsidR="0059070F">
        <w:t>THE BY-LAWS</w:t>
      </w:r>
    </w:p>
    <w:p w:rsidR="0059070F" w:rsidRDefault="0059070F" w:rsidP="0059070F"/>
    <w:p w:rsidR="0059070F" w:rsidRDefault="0059070F" w:rsidP="0059070F">
      <w:pPr>
        <w:spacing w:line="360" w:lineRule="auto"/>
        <w:rPr>
          <w:rFonts w:ascii="Century Gothic" w:hAnsi="Century Gothic" w:cs="Times New Roman"/>
        </w:rPr>
      </w:pPr>
      <w:r>
        <w:rPr>
          <w:rFonts w:ascii="Century Gothic" w:hAnsi="Century Gothic" w:cs="Times New Roman"/>
        </w:rPr>
        <w:t xml:space="preserve">Below you will find the proposed resolutions to the changes of the By-laws as approved by the Board to date.   </w:t>
      </w:r>
    </w:p>
    <w:p w:rsidR="0059070F" w:rsidRDefault="0059070F" w:rsidP="0059070F">
      <w:pPr>
        <w:spacing w:line="360" w:lineRule="auto"/>
        <w:rPr>
          <w:rFonts w:ascii="Century Gothic" w:hAnsi="Century Gothic" w:cs="Times New Roman"/>
        </w:rPr>
      </w:pPr>
    </w:p>
    <w:p w:rsidR="0059070F" w:rsidRDefault="00B5089F" w:rsidP="00207F51">
      <w:pPr>
        <w:spacing w:line="360" w:lineRule="auto"/>
        <w:rPr>
          <w:rFonts w:ascii="Century Gothic" w:hAnsi="Century Gothic" w:cs="Times New Roman"/>
          <w:b/>
        </w:rPr>
      </w:pPr>
      <w:r>
        <w:rPr>
          <w:rFonts w:ascii="Century Gothic" w:hAnsi="Century Gothic" w:cs="Times New Roman"/>
          <w:b/>
        </w:rPr>
        <w:t>R</w:t>
      </w:r>
      <w:r w:rsidR="0059070F" w:rsidRPr="0059070F">
        <w:rPr>
          <w:rFonts w:ascii="Century Gothic" w:hAnsi="Century Gothic" w:cs="Times New Roman"/>
          <w:b/>
        </w:rPr>
        <w:t>esolution</w:t>
      </w:r>
      <w:r w:rsidR="0059070F">
        <w:rPr>
          <w:rFonts w:ascii="Century Gothic" w:hAnsi="Century Gothic" w:cs="Times New Roman"/>
        </w:rPr>
        <w:t xml:space="preserve">:  </w:t>
      </w:r>
      <w:r w:rsidR="0059070F" w:rsidRPr="00B5089F">
        <w:rPr>
          <w:rFonts w:ascii="Century Gothic" w:hAnsi="Century Gothic" w:cs="Times New Roman"/>
          <w:b/>
        </w:rPr>
        <w:t xml:space="preserve">The Board confirms hereby the approval of all changes conducted during extraordinary </w:t>
      </w:r>
      <w:proofErr w:type="gramStart"/>
      <w:r w:rsidR="00091F9E" w:rsidRPr="00B5089F">
        <w:rPr>
          <w:rFonts w:ascii="Century Gothic" w:hAnsi="Century Gothic" w:cs="Times New Roman"/>
          <w:b/>
        </w:rPr>
        <w:t>meetings</w:t>
      </w:r>
      <w:r w:rsidR="00936108">
        <w:rPr>
          <w:rFonts w:ascii="Century Gothic" w:hAnsi="Century Gothic" w:cs="Times New Roman"/>
          <w:b/>
        </w:rPr>
        <w:t>,</w:t>
      </w:r>
      <w:proofErr w:type="gramEnd"/>
      <w:r w:rsidR="00936108">
        <w:rPr>
          <w:rFonts w:ascii="Century Gothic" w:hAnsi="Century Gothic" w:cs="Times New Roman"/>
          <w:b/>
        </w:rPr>
        <w:t xml:space="preserve"> </w:t>
      </w:r>
      <w:r w:rsidR="00091F9E">
        <w:rPr>
          <w:rFonts w:ascii="Century Gothic" w:hAnsi="Century Gothic" w:cs="Times New Roman"/>
          <w:b/>
        </w:rPr>
        <w:t>those</w:t>
      </w:r>
      <w:r w:rsidR="00FF7D3D">
        <w:rPr>
          <w:rFonts w:ascii="Century Gothic" w:hAnsi="Century Gothic" w:cs="Times New Roman"/>
          <w:b/>
        </w:rPr>
        <w:t xml:space="preserve"> changes have been highlighted in the revised </w:t>
      </w:r>
      <w:r w:rsidR="00091F9E">
        <w:rPr>
          <w:rFonts w:ascii="Century Gothic" w:hAnsi="Century Gothic" w:cs="Times New Roman"/>
          <w:b/>
        </w:rPr>
        <w:t xml:space="preserve">version of </w:t>
      </w:r>
      <w:r w:rsidR="00091F9E" w:rsidRPr="00B5089F">
        <w:rPr>
          <w:rFonts w:ascii="Century Gothic" w:hAnsi="Century Gothic" w:cs="Times New Roman"/>
          <w:b/>
        </w:rPr>
        <w:t>the</w:t>
      </w:r>
      <w:r w:rsidR="00207F51" w:rsidRPr="00B5089F">
        <w:rPr>
          <w:rFonts w:ascii="Century Gothic" w:hAnsi="Century Gothic" w:cs="Times New Roman"/>
          <w:b/>
        </w:rPr>
        <w:t xml:space="preserve"> By-laws.  </w:t>
      </w:r>
    </w:p>
    <w:p w:rsidR="00FF7D3D" w:rsidRDefault="00FF7D3D" w:rsidP="00207F51">
      <w:pPr>
        <w:spacing w:line="360" w:lineRule="auto"/>
        <w:rPr>
          <w:rFonts w:ascii="Century Gothic" w:hAnsi="Century Gothic" w:cs="Times New Roman"/>
          <w:b/>
        </w:rPr>
      </w:pPr>
    </w:p>
    <w:p w:rsidR="00091F9E" w:rsidRPr="00091F9E" w:rsidRDefault="00091F9E" w:rsidP="00207F51">
      <w:pPr>
        <w:spacing w:line="360" w:lineRule="auto"/>
        <w:rPr>
          <w:rFonts w:ascii="Century Gothic" w:hAnsi="Century Gothic"/>
          <w:b/>
        </w:rPr>
      </w:pPr>
      <w:r w:rsidRPr="00091F9E">
        <w:rPr>
          <w:rFonts w:ascii="Century Gothic" w:hAnsi="Century Gothic"/>
          <w:b/>
        </w:rPr>
        <w:t>ARTICLE III - MEMBERSHIP</w:t>
      </w:r>
    </w:p>
    <w:p w:rsidR="00B5089F" w:rsidRPr="00FF7D3D" w:rsidRDefault="00B5089F" w:rsidP="0059070F">
      <w:pPr>
        <w:spacing w:line="360" w:lineRule="auto"/>
        <w:rPr>
          <w:rFonts w:ascii="Century Gothic" w:hAnsi="Century Gothic" w:cs="Times New Roman"/>
        </w:rPr>
      </w:pPr>
      <w:r>
        <w:rPr>
          <w:rFonts w:ascii="Century Gothic" w:hAnsi="Century Gothic" w:cs="Times New Roman"/>
          <w:b/>
        </w:rPr>
        <w:t>R</w:t>
      </w:r>
      <w:r w:rsidR="0059070F" w:rsidRPr="00207F51">
        <w:rPr>
          <w:rFonts w:ascii="Century Gothic" w:hAnsi="Century Gothic" w:cs="Times New Roman"/>
          <w:b/>
        </w:rPr>
        <w:t xml:space="preserve">esolution: </w:t>
      </w:r>
      <w:r w:rsidR="00207F51" w:rsidRPr="00FF7D3D">
        <w:rPr>
          <w:rFonts w:ascii="Century Gothic" w:hAnsi="Century Gothic" w:cs="Times New Roman"/>
        </w:rPr>
        <w:t xml:space="preserve">The Board hereby accepts the suggested changes proposed to </w:t>
      </w:r>
      <w:r w:rsidR="00091F9E">
        <w:rPr>
          <w:rFonts w:ascii="Century Gothic" w:hAnsi="Century Gothic" w:cs="Times New Roman"/>
          <w:b/>
        </w:rPr>
        <w:t>Article III</w:t>
      </w:r>
      <w:r w:rsidR="00207F51" w:rsidRPr="00091F9E">
        <w:rPr>
          <w:rFonts w:ascii="Century Gothic" w:hAnsi="Century Gothic" w:cs="Times New Roman"/>
          <w:b/>
        </w:rPr>
        <w:t>, Section 4</w:t>
      </w:r>
      <w:r w:rsidR="00207F51" w:rsidRPr="00FF7D3D">
        <w:rPr>
          <w:rFonts w:ascii="Century Gothic" w:hAnsi="Century Gothic" w:cs="Times New Roman"/>
        </w:rPr>
        <w:t xml:space="preserve"> Category Specific Membership Requirements, </w:t>
      </w:r>
    </w:p>
    <w:p w:rsidR="0059070F" w:rsidRPr="00B5089F" w:rsidRDefault="00207F51" w:rsidP="0059070F">
      <w:pPr>
        <w:spacing w:line="360" w:lineRule="auto"/>
        <w:rPr>
          <w:rFonts w:ascii="Century Gothic" w:hAnsi="Century Gothic" w:cs="Times New Roman"/>
        </w:rPr>
      </w:pPr>
      <w:r w:rsidRPr="00B5089F">
        <w:rPr>
          <w:rFonts w:ascii="Century Gothic" w:hAnsi="Century Gothic" w:cs="Times New Roman"/>
        </w:rPr>
        <w:t xml:space="preserve">Certification Bodies must,   </w:t>
      </w:r>
    </w:p>
    <w:p w:rsidR="00207F51" w:rsidRPr="00B5089F" w:rsidRDefault="00207F51" w:rsidP="00207F51">
      <w:pPr>
        <w:pStyle w:val="BodyText3"/>
        <w:numPr>
          <w:numberingChange w:id="0" w:author="Janice Lichtenwaldt" w:date="2011-06-21T08:40:00Z" w:original="%1:1:0:."/>
        </w:numPr>
        <w:rPr>
          <w:rFonts w:ascii="Century Gothic" w:hAnsi="Century Gothic"/>
        </w:rPr>
      </w:pPr>
      <w:r w:rsidRPr="00B5089F">
        <w:rPr>
          <w:rFonts w:ascii="Century Gothic" w:hAnsi="Century Gothic"/>
          <w:iCs/>
        </w:rPr>
        <w:t>Ensure</w:t>
      </w:r>
      <w:r w:rsidRPr="00B5089F">
        <w:rPr>
          <w:rFonts w:ascii="Century Gothic" w:hAnsi="Century Gothic"/>
        </w:rPr>
        <w:t xml:space="preserve"> certification programs align with GSTC criteria aiming at </w:t>
      </w:r>
      <w:r w:rsidRPr="00FF7D3D">
        <w:rPr>
          <w:rFonts w:ascii="Century Gothic" w:hAnsi="Century Gothic"/>
          <w:b/>
        </w:rPr>
        <w:t>beginning the process</w:t>
      </w:r>
      <w:r w:rsidRPr="00B5089F">
        <w:rPr>
          <w:rFonts w:ascii="Century Gothic" w:hAnsi="Century Gothic"/>
        </w:rPr>
        <w:t xml:space="preserve"> of accreditation within 12 months of membership;</w:t>
      </w:r>
    </w:p>
    <w:p w:rsidR="00207F51" w:rsidRPr="00B5089F" w:rsidRDefault="00207F51" w:rsidP="00207F51">
      <w:pPr>
        <w:pStyle w:val="BodyText3"/>
        <w:numPr>
          <w:numberingChange w:id="1" w:author="Janice Lichtenwaldt" w:date="2011-06-21T08:40:00Z" w:original="%1:2:0:."/>
        </w:numPr>
        <w:rPr>
          <w:rFonts w:ascii="Century Gothic" w:hAnsi="Century Gothic"/>
        </w:rPr>
      </w:pPr>
      <w:r w:rsidRPr="00B5089F">
        <w:rPr>
          <w:rFonts w:ascii="Century Gothic" w:hAnsi="Century Gothic"/>
        </w:rPr>
        <w:t xml:space="preserve">Aim to achieve accreditation by GSTC criteria within 24 months </w:t>
      </w:r>
      <w:r w:rsidR="0095581A">
        <w:rPr>
          <w:rFonts w:ascii="Century Gothic" w:hAnsi="Century Gothic"/>
        </w:rPr>
        <w:t xml:space="preserve">of </w:t>
      </w:r>
      <w:r w:rsidRPr="00FF7D3D">
        <w:rPr>
          <w:rFonts w:ascii="Century Gothic" w:hAnsi="Century Gothic"/>
          <w:b/>
        </w:rPr>
        <w:t>submitting the application</w:t>
      </w:r>
      <w:r w:rsidRPr="00B5089F">
        <w:rPr>
          <w:rFonts w:ascii="Century Gothic" w:hAnsi="Century Gothic"/>
        </w:rPr>
        <w:t>.  (of membership);</w:t>
      </w:r>
    </w:p>
    <w:p w:rsidR="00207F51" w:rsidRPr="00207F51" w:rsidRDefault="00B5089F" w:rsidP="00B5089F">
      <w:pPr>
        <w:spacing w:line="360" w:lineRule="auto"/>
        <w:ind w:left="360"/>
        <w:rPr>
          <w:rFonts w:ascii="Century Gothic" w:hAnsi="Century Gothic" w:cs="Times New Roman"/>
        </w:rPr>
      </w:pPr>
      <w:r w:rsidRPr="003A0E59">
        <w:rPr>
          <w:rStyle w:val="Heading2Char"/>
          <w:rFonts w:ascii="Century Gothic" w:hAnsi="Century Gothic"/>
        </w:rPr>
        <w:t>Discussion</w:t>
      </w:r>
      <w:r w:rsidRPr="003A0E59">
        <w:rPr>
          <w:rFonts w:ascii="Century Gothic" w:hAnsi="Century Gothic" w:cs="Times New Roman"/>
        </w:rPr>
        <w:t>:</w:t>
      </w:r>
      <w:r>
        <w:rPr>
          <w:rFonts w:ascii="Century Gothic" w:hAnsi="Century Gothic" w:cs="Times New Roman"/>
        </w:rPr>
        <w:t xml:space="preserve">  deadlines as stated </w:t>
      </w:r>
      <w:r w:rsidR="00936108">
        <w:rPr>
          <w:rFonts w:ascii="Century Gothic" w:hAnsi="Century Gothic" w:cs="Times New Roman"/>
        </w:rPr>
        <w:t xml:space="preserve">in the original By-laws </w:t>
      </w:r>
      <w:r>
        <w:rPr>
          <w:rFonts w:ascii="Century Gothic" w:hAnsi="Century Gothic" w:cs="Times New Roman"/>
        </w:rPr>
        <w:t xml:space="preserve">do not </w:t>
      </w:r>
      <w:r w:rsidR="00936108">
        <w:rPr>
          <w:rFonts w:ascii="Century Gothic" w:hAnsi="Century Gothic" w:cs="Times New Roman"/>
        </w:rPr>
        <w:t>c</w:t>
      </w:r>
      <w:r>
        <w:rPr>
          <w:rFonts w:ascii="Century Gothic" w:hAnsi="Century Gothic" w:cs="Times New Roman"/>
        </w:rPr>
        <w:t>orrespond</w:t>
      </w:r>
      <w:r w:rsidR="00936108">
        <w:rPr>
          <w:rFonts w:ascii="Century Gothic" w:hAnsi="Century Gothic" w:cs="Times New Roman"/>
        </w:rPr>
        <w:t xml:space="preserve"> to</w:t>
      </w:r>
      <w:r>
        <w:rPr>
          <w:rFonts w:ascii="Century Gothic" w:hAnsi="Century Gothic" w:cs="Times New Roman"/>
        </w:rPr>
        <w:t xml:space="preserve"> the real time it takes to undergo accreditation.  </w:t>
      </w:r>
    </w:p>
    <w:p w:rsidR="0059070F" w:rsidRDefault="0059070F" w:rsidP="0059070F">
      <w:pPr>
        <w:spacing w:line="360" w:lineRule="auto"/>
        <w:rPr>
          <w:rFonts w:ascii="Century Gothic" w:hAnsi="Century Gothic" w:cs="Times New Roman"/>
        </w:rPr>
      </w:pPr>
    </w:p>
    <w:p w:rsidR="0059070F" w:rsidRDefault="0059070F" w:rsidP="0059070F">
      <w:pPr>
        <w:spacing w:line="360" w:lineRule="auto"/>
        <w:rPr>
          <w:rFonts w:ascii="Century Gothic" w:hAnsi="Century Gothic" w:cs="Times New Roman"/>
        </w:rPr>
      </w:pPr>
      <w:r w:rsidRPr="00B5089F">
        <w:rPr>
          <w:rFonts w:ascii="Century Gothic" w:hAnsi="Century Gothic" w:cs="Times New Roman"/>
          <w:b/>
        </w:rPr>
        <w:t>Resolution</w:t>
      </w:r>
      <w:r>
        <w:rPr>
          <w:rFonts w:ascii="Century Gothic" w:hAnsi="Century Gothic" w:cs="Times New Roman"/>
        </w:rPr>
        <w:t xml:space="preserve">: </w:t>
      </w:r>
      <w:r w:rsidR="00FF7D3D">
        <w:rPr>
          <w:rFonts w:ascii="Century Gothic" w:hAnsi="Century Gothic" w:cs="Times New Roman"/>
        </w:rPr>
        <w:t xml:space="preserve"> The Board hereby accepts the suggested changes proposed to </w:t>
      </w:r>
      <w:r w:rsidR="00FF7D3D" w:rsidRPr="00091F9E">
        <w:rPr>
          <w:rFonts w:ascii="Century Gothic" w:hAnsi="Century Gothic" w:cs="Times New Roman"/>
          <w:b/>
        </w:rPr>
        <w:t>Article III, Section 10</w:t>
      </w:r>
      <w:r w:rsidR="00FF7D3D">
        <w:rPr>
          <w:rFonts w:ascii="Century Gothic" w:hAnsi="Century Gothic" w:cs="Times New Roman"/>
        </w:rPr>
        <w:t xml:space="preserve"> Membership Dues, </w:t>
      </w:r>
    </w:p>
    <w:p w:rsidR="0059070F" w:rsidRDefault="00FF7D3D" w:rsidP="0059070F">
      <w:pPr>
        <w:spacing w:line="360" w:lineRule="auto"/>
        <w:rPr>
          <w:rFonts w:ascii="Century Gothic" w:hAnsi="Century Gothic" w:cs="Times New Roman"/>
        </w:rPr>
      </w:pPr>
      <w:r>
        <w:rPr>
          <w:rFonts w:ascii="Century Gothic" w:hAnsi="Century Gothic" w:cs="Times New Roman"/>
        </w:rPr>
        <w:t>Original text:  Dues should be paid the first month of every year.</w:t>
      </w:r>
    </w:p>
    <w:p w:rsidR="00FF7D3D" w:rsidRPr="000532CE" w:rsidRDefault="00FF7D3D" w:rsidP="0059070F">
      <w:pPr>
        <w:spacing w:line="360" w:lineRule="auto"/>
        <w:rPr>
          <w:rFonts w:ascii="Century Gothic" w:hAnsi="Century Gothic" w:cs="Times New Roman"/>
          <w:b/>
        </w:rPr>
      </w:pPr>
      <w:r>
        <w:rPr>
          <w:rFonts w:ascii="Century Gothic" w:hAnsi="Century Gothic" w:cs="Times New Roman"/>
        </w:rPr>
        <w:t>Recommended text</w:t>
      </w:r>
      <w:r w:rsidRPr="000532CE">
        <w:rPr>
          <w:rFonts w:ascii="Century Gothic" w:hAnsi="Century Gothic" w:cs="Times New Roman"/>
          <w:b/>
        </w:rPr>
        <w:t>:  Members joining in the first semester will pay dues on January 1</w:t>
      </w:r>
      <w:r w:rsidRPr="000532CE">
        <w:rPr>
          <w:rFonts w:ascii="Century Gothic" w:hAnsi="Century Gothic" w:cs="Times New Roman"/>
          <w:b/>
          <w:vertAlign w:val="superscript"/>
        </w:rPr>
        <w:t>st</w:t>
      </w:r>
      <w:r w:rsidRPr="000532CE">
        <w:rPr>
          <w:rFonts w:ascii="Century Gothic" w:hAnsi="Century Gothic" w:cs="Times New Roman"/>
          <w:b/>
        </w:rPr>
        <w:t>.  Members joining the second semester will pay dues on July 1</w:t>
      </w:r>
      <w:r w:rsidRPr="000532CE">
        <w:rPr>
          <w:rFonts w:ascii="Century Gothic" w:hAnsi="Century Gothic" w:cs="Times New Roman"/>
          <w:b/>
          <w:vertAlign w:val="superscript"/>
        </w:rPr>
        <w:t>st</w:t>
      </w:r>
      <w:r w:rsidRPr="000532CE">
        <w:rPr>
          <w:rFonts w:ascii="Century Gothic" w:hAnsi="Century Gothic" w:cs="Times New Roman"/>
          <w:b/>
        </w:rPr>
        <w:t xml:space="preserve">.  </w:t>
      </w:r>
    </w:p>
    <w:p w:rsidR="00207F51" w:rsidRDefault="000532CE" w:rsidP="00091F9E">
      <w:pPr>
        <w:spacing w:line="360" w:lineRule="auto"/>
        <w:ind w:left="720"/>
        <w:rPr>
          <w:rFonts w:ascii="Century Gothic" w:hAnsi="Century Gothic" w:cs="Times New Roman"/>
        </w:rPr>
      </w:pPr>
      <w:r w:rsidRPr="003A0E59">
        <w:rPr>
          <w:rStyle w:val="Heading2Char"/>
          <w:rFonts w:ascii="Century Gothic" w:hAnsi="Century Gothic"/>
        </w:rPr>
        <w:t>Discussion:</w:t>
      </w:r>
      <w:r>
        <w:rPr>
          <w:rFonts w:ascii="Century Gothic" w:hAnsi="Century Gothic" w:cs="Times New Roman"/>
        </w:rPr>
        <w:t xml:space="preserve">  While logistically paying once a year is easier</w:t>
      </w:r>
      <w:r w:rsidR="00091F9E">
        <w:rPr>
          <w:rFonts w:ascii="Century Gothic" w:hAnsi="Century Gothic" w:cs="Times New Roman"/>
        </w:rPr>
        <w:t>, it seems difficult for some of the members to do so.  By splitting it up we still focus on two specific dates rather than throughout the year but can align with the requirements of the organizations.</w:t>
      </w:r>
    </w:p>
    <w:p w:rsidR="00091F9E" w:rsidRDefault="00091F9E" w:rsidP="00D625B7">
      <w:pPr>
        <w:spacing w:line="360" w:lineRule="auto"/>
        <w:rPr>
          <w:rFonts w:ascii="Century Gothic" w:hAnsi="Century Gothic" w:cs="Times New Roman"/>
        </w:rPr>
      </w:pPr>
    </w:p>
    <w:p w:rsidR="00D625B7" w:rsidRPr="00A713E4" w:rsidRDefault="00D625B7" w:rsidP="00D625B7">
      <w:pPr>
        <w:spacing w:line="360" w:lineRule="auto"/>
        <w:rPr>
          <w:rFonts w:ascii="Century Gothic" w:hAnsi="Century Gothic" w:cs="Times New Roman"/>
          <w:b/>
        </w:rPr>
      </w:pPr>
      <w:r w:rsidRPr="00A713E4">
        <w:rPr>
          <w:rFonts w:ascii="Century Gothic" w:hAnsi="Century Gothic" w:cs="Times New Roman"/>
          <w:b/>
        </w:rPr>
        <w:t xml:space="preserve">ARTICLE </w:t>
      </w:r>
      <w:r w:rsidR="00A713E4" w:rsidRPr="00A713E4">
        <w:rPr>
          <w:rFonts w:ascii="Century Gothic" w:hAnsi="Century Gothic" w:cs="Times New Roman"/>
          <w:b/>
        </w:rPr>
        <w:t xml:space="preserve">V- </w:t>
      </w:r>
      <w:r w:rsidRPr="00A713E4">
        <w:rPr>
          <w:rFonts w:ascii="Century Gothic" w:hAnsi="Century Gothic" w:cs="Times New Roman"/>
          <w:b/>
        </w:rPr>
        <w:t>BOARD OF DIRECTORS</w:t>
      </w:r>
    </w:p>
    <w:p w:rsidR="00091F9E" w:rsidRDefault="00091F9E" w:rsidP="00091F9E">
      <w:pPr>
        <w:spacing w:line="360" w:lineRule="auto"/>
        <w:rPr>
          <w:rFonts w:ascii="Century Gothic" w:hAnsi="Century Gothic"/>
        </w:rPr>
      </w:pPr>
      <w:r w:rsidRPr="00063890">
        <w:rPr>
          <w:rFonts w:ascii="Century Gothic" w:hAnsi="Century Gothic" w:cs="Times New Roman"/>
          <w:b/>
        </w:rPr>
        <w:t>Resolution</w:t>
      </w:r>
      <w:r>
        <w:rPr>
          <w:rFonts w:ascii="Century Gothic" w:hAnsi="Century Gothic" w:cs="Times New Roman"/>
        </w:rPr>
        <w:t xml:space="preserve">:  </w:t>
      </w:r>
      <w:r w:rsidR="00063890">
        <w:rPr>
          <w:rFonts w:ascii="Century Gothic" w:hAnsi="Century Gothic" w:cs="Times New Roman"/>
        </w:rPr>
        <w:t xml:space="preserve">To add to </w:t>
      </w:r>
      <w:r>
        <w:rPr>
          <w:rFonts w:ascii="Century Gothic" w:hAnsi="Century Gothic" w:cs="Times New Roman"/>
        </w:rPr>
        <w:t>Article V</w:t>
      </w:r>
      <w:r w:rsidR="00C142C2">
        <w:rPr>
          <w:rFonts w:ascii="Century Gothic" w:hAnsi="Century Gothic" w:cs="Times New Roman"/>
        </w:rPr>
        <w:t>, Section 2</w:t>
      </w:r>
      <w:r w:rsidR="00063890">
        <w:rPr>
          <w:rFonts w:ascii="Century Gothic" w:hAnsi="Century Gothic" w:cs="Times New Roman"/>
        </w:rPr>
        <w:t xml:space="preserve">, Point 2  </w:t>
      </w:r>
      <w:r w:rsidR="00063890" w:rsidRPr="00063890">
        <w:rPr>
          <w:rFonts w:ascii="Century Gothic" w:hAnsi="Century Gothic" w:cs="Times New Roman"/>
        </w:rPr>
        <w:t>“</w:t>
      </w:r>
      <w:r w:rsidR="00063890" w:rsidRPr="00063890">
        <w:rPr>
          <w:rFonts w:ascii="Century Gothic" w:hAnsi="Century Gothic"/>
        </w:rPr>
        <w:t>Up to five (5) additional seats from within or outside the Membership Council, assigned by the Board to outstanding individuals and organizations that will further the mission and vision of GSTC, through their contributions and access to prominent networks or visibility</w:t>
      </w:r>
      <w:r w:rsidR="00063890">
        <w:rPr>
          <w:rFonts w:ascii="Century Gothic" w:hAnsi="Century Gothic" w:cs="Times New Roman"/>
        </w:rPr>
        <w:t xml:space="preserve">” the following language </w:t>
      </w:r>
      <w:r w:rsidR="00063890" w:rsidRPr="00063890">
        <w:rPr>
          <w:rFonts w:ascii="Century Gothic" w:hAnsi="Century Gothic" w:cs="Times New Roman"/>
        </w:rPr>
        <w:t>“</w:t>
      </w:r>
      <w:r w:rsidR="00063890" w:rsidRPr="00063890">
        <w:rPr>
          <w:rFonts w:ascii="Century Gothic" w:hAnsi="Century Gothic"/>
          <w:b/>
        </w:rPr>
        <w:t>In assigning these seats balance will be sought between category, geographical representation and gender.</w:t>
      </w:r>
      <w:r w:rsidR="00063890">
        <w:rPr>
          <w:rFonts w:ascii="Century Gothic" w:hAnsi="Century Gothic"/>
        </w:rPr>
        <w:t xml:space="preserve"> “</w:t>
      </w:r>
    </w:p>
    <w:p w:rsidR="00063890" w:rsidRDefault="00063890" w:rsidP="00063890">
      <w:pPr>
        <w:spacing w:line="360" w:lineRule="auto"/>
        <w:ind w:left="720"/>
        <w:rPr>
          <w:rFonts w:ascii="Century Gothic" w:hAnsi="Century Gothic"/>
        </w:rPr>
      </w:pPr>
      <w:r w:rsidRPr="003A0E59">
        <w:rPr>
          <w:rStyle w:val="Heading2Char"/>
          <w:rFonts w:ascii="Century Gothic" w:hAnsi="Century Gothic"/>
        </w:rPr>
        <w:t>Discussion</w:t>
      </w:r>
      <w:r w:rsidRPr="003A0E59">
        <w:rPr>
          <w:rFonts w:ascii="Century Gothic" w:hAnsi="Century Gothic"/>
        </w:rPr>
        <w:t>:</w:t>
      </w:r>
      <w:r>
        <w:rPr>
          <w:rFonts w:ascii="Century Gothic" w:hAnsi="Century Gothic"/>
        </w:rPr>
        <w:t xml:space="preserve">  This is to ensure that there is a regional, category and gender balance in the group. </w:t>
      </w:r>
    </w:p>
    <w:p w:rsidR="00192FBE" w:rsidRDefault="00192FBE" w:rsidP="00063890">
      <w:pPr>
        <w:spacing w:line="360" w:lineRule="auto"/>
        <w:ind w:left="720"/>
        <w:rPr>
          <w:rFonts w:ascii="Century Gothic" w:hAnsi="Century Gothic" w:cs="Times New Roman"/>
        </w:rPr>
      </w:pPr>
    </w:p>
    <w:p w:rsidR="00192FBE" w:rsidRDefault="00192FBE" w:rsidP="00192FBE">
      <w:pPr>
        <w:spacing w:line="360" w:lineRule="auto"/>
        <w:rPr>
          <w:rFonts w:ascii="Century Gothic" w:hAnsi="Century Gothic" w:cs="Times New Roman"/>
        </w:rPr>
      </w:pPr>
      <w:r w:rsidRPr="00192FBE">
        <w:rPr>
          <w:rFonts w:ascii="Century Gothic" w:hAnsi="Century Gothic" w:cs="Times New Roman"/>
          <w:b/>
        </w:rPr>
        <w:t>Resolution</w:t>
      </w:r>
      <w:r>
        <w:rPr>
          <w:rFonts w:ascii="Century Gothic" w:hAnsi="Century Gothic" w:cs="Times New Roman"/>
        </w:rPr>
        <w:t>:  Article V, Section 4</w:t>
      </w:r>
      <w:r w:rsidR="00170FFE">
        <w:rPr>
          <w:rFonts w:ascii="Century Gothic" w:hAnsi="Century Gothic" w:cs="Times New Roman"/>
        </w:rPr>
        <w:t xml:space="preserve"> This resolution will </w:t>
      </w:r>
      <w:r>
        <w:rPr>
          <w:rFonts w:ascii="Century Gothic" w:hAnsi="Century Gothic" w:cs="Times New Roman"/>
        </w:rPr>
        <w:t>be determined by discussion of the board (discussion paper</w:t>
      </w:r>
      <w:r w:rsidR="00C05F97">
        <w:rPr>
          <w:rFonts w:ascii="Century Gothic" w:hAnsi="Century Gothic" w:cs="Times New Roman"/>
        </w:rPr>
        <w:t xml:space="preserve">: </w:t>
      </w:r>
      <w:r w:rsidR="004C7F15">
        <w:rPr>
          <w:rFonts w:ascii="Century Gothic" w:hAnsi="Century Gothic" w:cs="Times New Roman"/>
        </w:rPr>
        <w:t>provided</w:t>
      </w:r>
      <w:r>
        <w:rPr>
          <w:rFonts w:ascii="Century Gothic" w:hAnsi="Century Gothic" w:cs="Times New Roman"/>
        </w:rPr>
        <w:t xml:space="preserve">) </w:t>
      </w:r>
    </w:p>
    <w:p w:rsidR="003A0E59" w:rsidRDefault="003A0E59" w:rsidP="00C671F8">
      <w:pPr>
        <w:pStyle w:val="BylawsCont1"/>
        <w:spacing w:after="0"/>
        <w:rPr>
          <w:rFonts w:ascii="Century Gothic" w:hAnsi="Century Gothic"/>
          <w:b/>
        </w:rPr>
      </w:pPr>
    </w:p>
    <w:p w:rsidR="00C671F8" w:rsidRPr="00C671F8" w:rsidRDefault="00C671F8" w:rsidP="00C671F8">
      <w:pPr>
        <w:pStyle w:val="BylawsCont1"/>
        <w:spacing w:after="0"/>
        <w:rPr>
          <w:rFonts w:ascii="Century Gothic" w:hAnsi="Century Gothic"/>
        </w:rPr>
      </w:pPr>
      <w:r w:rsidRPr="00C671F8">
        <w:rPr>
          <w:rFonts w:ascii="Century Gothic" w:hAnsi="Century Gothic"/>
          <w:b/>
        </w:rPr>
        <w:t>Resolution</w:t>
      </w:r>
      <w:r>
        <w:rPr>
          <w:rFonts w:ascii="Century Gothic" w:hAnsi="Century Gothic"/>
        </w:rPr>
        <w:t xml:space="preserve">:  </w:t>
      </w:r>
      <w:r w:rsidRPr="00C671F8">
        <w:rPr>
          <w:rFonts w:ascii="Century Gothic" w:hAnsi="Century Gothic"/>
        </w:rPr>
        <w:t>On Article V the Board decides to create a new Section 6 to describe the selection of the Selected Board members</w:t>
      </w:r>
      <w:r>
        <w:rPr>
          <w:rFonts w:ascii="Century Gothic" w:hAnsi="Century Gothic"/>
        </w:rPr>
        <w:t xml:space="preserve">.  The text will read: </w:t>
      </w:r>
      <w:r w:rsidRPr="00C671F8">
        <w:rPr>
          <w:rFonts w:ascii="Century Gothic" w:hAnsi="Century Gothic"/>
        </w:rPr>
        <w:t>“</w:t>
      </w:r>
      <w:r w:rsidRPr="00C671F8">
        <w:rPr>
          <w:rFonts w:ascii="Century Gothic" w:hAnsi="Century Gothic"/>
          <w:b/>
        </w:rPr>
        <w:t>Section 6 -   Selected Board members</w:t>
      </w:r>
      <w:r w:rsidRPr="00C671F8">
        <w:rPr>
          <w:rFonts w:ascii="Century Gothic" w:hAnsi="Century Gothic"/>
        </w:rPr>
        <w:t xml:space="preserve"> </w:t>
      </w:r>
      <w:r>
        <w:rPr>
          <w:rFonts w:ascii="Century Gothic" w:hAnsi="Century Gothic"/>
        </w:rPr>
        <w:t xml:space="preserve">  </w:t>
      </w:r>
      <w:r w:rsidRPr="00C671F8">
        <w:rPr>
          <w:rFonts w:ascii="Century Gothic" w:hAnsi="Century Gothic"/>
          <w:b/>
        </w:rPr>
        <w:t xml:space="preserve">All Directors shall be over eighteen years of age, nominated and seconded by any elected Director.  </w:t>
      </w:r>
      <w:r w:rsidR="003A0E59">
        <w:rPr>
          <w:rFonts w:ascii="Century Gothic" w:hAnsi="Century Gothic"/>
          <w:b/>
        </w:rPr>
        <w:t xml:space="preserve">The Director will be selected with a 2/3 majority vote. </w:t>
      </w:r>
      <w:r w:rsidRPr="00C671F8">
        <w:rPr>
          <w:rFonts w:ascii="Century Gothic" w:hAnsi="Century Gothic"/>
          <w:b/>
        </w:rPr>
        <w:t>The selected Directors will serve on the Board for one year, with the possibility to two consecutive terms.   This selection will not preclude selected Directors to run in the election process for future terms</w:t>
      </w:r>
      <w:r>
        <w:rPr>
          <w:rFonts w:ascii="Century Gothic" w:hAnsi="Century Gothic"/>
        </w:rPr>
        <w:t>.”</w:t>
      </w:r>
    </w:p>
    <w:p w:rsidR="00C671F8" w:rsidRDefault="00C671F8" w:rsidP="008A2C99">
      <w:pPr>
        <w:pStyle w:val="Heading2"/>
        <w:spacing w:before="0" w:line="360" w:lineRule="auto"/>
        <w:ind w:left="720"/>
        <w:rPr>
          <w:rFonts w:ascii="Century Gothic" w:hAnsi="Century Gothic"/>
          <w:b w:val="0"/>
          <w:color w:val="auto"/>
          <w:sz w:val="24"/>
          <w:szCs w:val="24"/>
        </w:rPr>
      </w:pPr>
      <w:r w:rsidRPr="003A0E59">
        <w:rPr>
          <w:rFonts w:ascii="Century Gothic" w:hAnsi="Century Gothic"/>
        </w:rPr>
        <w:t xml:space="preserve">Discussion:  </w:t>
      </w:r>
      <w:r w:rsidR="003A0E59" w:rsidRPr="003A0E59">
        <w:rPr>
          <w:rFonts w:ascii="Century Gothic" w:hAnsi="Century Gothic"/>
          <w:b w:val="0"/>
          <w:color w:val="auto"/>
          <w:sz w:val="24"/>
          <w:szCs w:val="24"/>
        </w:rPr>
        <w:t>The process for Selected Board members was not described in the By-laws.</w:t>
      </w:r>
    </w:p>
    <w:p w:rsidR="008A2C99" w:rsidRDefault="008A2C99" w:rsidP="008A2C99"/>
    <w:p w:rsidR="008A2C99" w:rsidRPr="008A2C99" w:rsidRDefault="008A2C99" w:rsidP="008A2C99">
      <w:pPr>
        <w:pStyle w:val="BylawsCont1"/>
        <w:spacing w:after="0"/>
        <w:rPr>
          <w:rFonts w:ascii="Century Gothic" w:hAnsi="Century Gothic"/>
        </w:rPr>
      </w:pPr>
      <w:r>
        <w:rPr>
          <w:rFonts w:ascii="Century Gothic" w:hAnsi="Century Gothic"/>
          <w:b/>
        </w:rPr>
        <w:t xml:space="preserve">Resolution   </w:t>
      </w:r>
      <w:r w:rsidRPr="003A0E59">
        <w:rPr>
          <w:rFonts w:ascii="Century Gothic" w:hAnsi="Century Gothic"/>
        </w:rPr>
        <w:t>On Article V</w:t>
      </w:r>
      <w:r>
        <w:rPr>
          <w:rFonts w:ascii="Century Gothic" w:hAnsi="Century Gothic"/>
        </w:rPr>
        <w:t xml:space="preserve">, Section 8 Removal, the Board agrees to substitute consecutive by meetings in a year.  Leaving the new text of the article as follows: </w:t>
      </w:r>
      <w:r w:rsidRPr="008A2C99">
        <w:rPr>
          <w:rFonts w:ascii="Century Gothic" w:hAnsi="Century Gothic"/>
          <w:b/>
        </w:rPr>
        <w:t xml:space="preserve">” </w:t>
      </w:r>
      <w:r w:rsidRPr="0000081F">
        <w:rPr>
          <w:rFonts w:ascii="Century Gothic" w:hAnsi="Century Gothic"/>
        </w:rPr>
        <w:t xml:space="preserve">A Director shall cease to hold office and be removed in the event that said Director fails to attend in person or by other communication three meetings of the Board </w:t>
      </w:r>
      <w:r w:rsidRPr="0000081F">
        <w:rPr>
          <w:rFonts w:ascii="Century Gothic" w:hAnsi="Century Gothic"/>
          <w:b/>
        </w:rPr>
        <w:t>in one year</w:t>
      </w:r>
      <w:r w:rsidRPr="0000081F">
        <w:rPr>
          <w:rFonts w:ascii="Century Gothic" w:hAnsi="Century Gothic"/>
        </w:rPr>
        <w:t>, such cessation to occur at the conclusion of the third meeting missed</w:t>
      </w:r>
      <w:r w:rsidRPr="008A2C99">
        <w:rPr>
          <w:rFonts w:ascii="Century Gothic" w:hAnsi="Century Gothic"/>
          <w:b/>
        </w:rPr>
        <w:t>”</w:t>
      </w:r>
    </w:p>
    <w:p w:rsidR="008A2C99" w:rsidRDefault="008A2C99" w:rsidP="008A2C99">
      <w:pPr>
        <w:pStyle w:val="Heading2"/>
        <w:spacing w:before="0" w:line="360" w:lineRule="auto"/>
        <w:ind w:left="720"/>
        <w:rPr>
          <w:rFonts w:ascii="Century Gothic" w:hAnsi="Century Gothic"/>
          <w:b w:val="0"/>
          <w:color w:val="auto"/>
          <w:sz w:val="24"/>
          <w:szCs w:val="24"/>
        </w:rPr>
      </w:pPr>
      <w:r w:rsidRPr="003A0E59">
        <w:rPr>
          <w:rFonts w:ascii="Century Gothic" w:hAnsi="Century Gothic"/>
        </w:rPr>
        <w:t xml:space="preserve">Discussion:  </w:t>
      </w:r>
      <w:r>
        <w:rPr>
          <w:rFonts w:ascii="Century Gothic" w:hAnsi="Century Gothic"/>
          <w:b w:val="0"/>
          <w:color w:val="auto"/>
          <w:sz w:val="24"/>
          <w:szCs w:val="24"/>
        </w:rPr>
        <w:t xml:space="preserve">The Board has 4 meetings a year, one of them may or may not coincide with the annual in person meeting.  Missing 3 meetings in a year constitutes 75% of the time.  This does not benefit the organizations.  The meetings times are dictated by the by-laws, Board members are </w:t>
      </w:r>
      <w:r w:rsidR="00170FFE">
        <w:rPr>
          <w:rFonts w:ascii="Century Gothic" w:hAnsi="Century Gothic"/>
          <w:b w:val="0"/>
          <w:color w:val="auto"/>
          <w:sz w:val="24"/>
          <w:szCs w:val="24"/>
        </w:rPr>
        <w:t>familiar with</w:t>
      </w:r>
      <w:r>
        <w:rPr>
          <w:rFonts w:ascii="Century Gothic" w:hAnsi="Century Gothic"/>
          <w:b w:val="0"/>
          <w:color w:val="auto"/>
          <w:sz w:val="24"/>
          <w:szCs w:val="24"/>
        </w:rPr>
        <w:t xml:space="preserve"> the dates. Annual in person meetings are set at least 6 months in advanced, giving ample time to program.  </w:t>
      </w:r>
    </w:p>
    <w:p w:rsidR="00170FFE" w:rsidRDefault="00170FFE" w:rsidP="00170FFE"/>
    <w:p w:rsidR="00170FFE" w:rsidRPr="00170FFE" w:rsidRDefault="00170FFE" w:rsidP="00170FFE">
      <w:pPr>
        <w:rPr>
          <w:rFonts w:ascii="Century Gothic" w:hAnsi="Century Gothic"/>
          <w:b/>
        </w:rPr>
      </w:pPr>
      <w:r w:rsidRPr="00170FFE">
        <w:rPr>
          <w:rFonts w:ascii="Century Gothic" w:hAnsi="Century Gothic"/>
          <w:b/>
        </w:rPr>
        <w:t>ARTICLE VIII – ADVISORY BOARD</w:t>
      </w:r>
    </w:p>
    <w:p w:rsidR="008A2C99" w:rsidRDefault="008A2C99" w:rsidP="008A2C99"/>
    <w:p w:rsidR="00170FFE" w:rsidRDefault="00170FFE" w:rsidP="0000081F">
      <w:pPr>
        <w:spacing w:line="360" w:lineRule="auto"/>
        <w:rPr>
          <w:rFonts w:ascii="Century Gothic" w:hAnsi="Century Gothic"/>
        </w:rPr>
      </w:pPr>
      <w:r>
        <w:rPr>
          <w:rFonts w:ascii="Century Gothic" w:hAnsi="Century Gothic"/>
          <w:b/>
        </w:rPr>
        <w:t xml:space="preserve">Resolution:  </w:t>
      </w:r>
      <w:r>
        <w:rPr>
          <w:rFonts w:ascii="Century Gothic" w:hAnsi="Century Gothic"/>
        </w:rPr>
        <w:t>As per agreement in the last Board meeting on June 2</w:t>
      </w:r>
      <w:r w:rsidRPr="00170FFE">
        <w:rPr>
          <w:rFonts w:ascii="Century Gothic" w:hAnsi="Century Gothic"/>
          <w:vertAlign w:val="superscript"/>
        </w:rPr>
        <w:t>nd</w:t>
      </w:r>
      <w:r>
        <w:rPr>
          <w:rFonts w:ascii="Century Gothic" w:hAnsi="Century Gothic"/>
        </w:rPr>
        <w:t xml:space="preserve"> 2011</w:t>
      </w:r>
      <w:proofErr w:type="gramStart"/>
      <w:r>
        <w:rPr>
          <w:rFonts w:ascii="Century Gothic" w:hAnsi="Century Gothic"/>
        </w:rPr>
        <w:t xml:space="preserve">,  </w:t>
      </w:r>
      <w:r w:rsidR="0000081F">
        <w:rPr>
          <w:rFonts w:ascii="Century Gothic" w:hAnsi="Century Gothic"/>
        </w:rPr>
        <w:t xml:space="preserve"> the</w:t>
      </w:r>
      <w:proofErr w:type="gramEnd"/>
      <w:r w:rsidR="0000081F">
        <w:rPr>
          <w:rFonts w:ascii="Century Gothic" w:hAnsi="Century Gothic"/>
        </w:rPr>
        <w:t xml:space="preserve"> Advisory Body </w:t>
      </w:r>
      <w:r w:rsidR="004C7F15">
        <w:rPr>
          <w:rFonts w:ascii="Century Gothic" w:hAnsi="Century Gothic"/>
        </w:rPr>
        <w:t>becomes</w:t>
      </w:r>
      <w:r w:rsidR="0000081F">
        <w:rPr>
          <w:rFonts w:ascii="Century Gothic" w:hAnsi="Century Gothic"/>
        </w:rPr>
        <w:t xml:space="preserve"> an Ambassadors Circle with Global Ambassadors.  The Board approves the text as shown in the By-laws and reads: </w:t>
      </w:r>
    </w:p>
    <w:p w:rsidR="0000081F" w:rsidRPr="0000081F" w:rsidRDefault="004C7F15" w:rsidP="004C7F15">
      <w:pPr>
        <w:pStyle w:val="BylawsL1"/>
        <w:numPr>
          <w:ilvl w:val="0"/>
          <w:numId w:val="0"/>
        </w:numPr>
        <w:rPr>
          <w:rFonts w:ascii="Century Gothic" w:hAnsi="Century Gothic"/>
        </w:rPr>
      </w:pPr>
      <w:r>
        <w:rPr>
          <w:rFonts w:ascii="Century Gothic" w:hAnsi="Century Gothic"/>
        </w:rPr>
        <w:t xml:space="preserve">Article VIII </w:t>
      </w:r>
      <w:r w:rsidR="0000081F" w:rsidRPr="0000081F">
        <w:rPr>
          <w:rFonts w:ascii="Century Gothic" w:hAnsi="Century Gothic"/>
        </w:rPr>
        <w:t>GLOBAL AMBASSADORS</w:t>
      </w:r>
    </w:p>
    <w:p w:rsidR="0000081F" w:rsidRPr="0000081F" w:rsidRDefault="0000081F" w:rsidP="0000081F">
      <w:pPr>
        <w:pStyle w:val="BylawsL2"/>
        <w:numPr>
          <w:numberingChange w:id="2" w:author="Janice Lichtenwaldt" w:date="2011-06-21T08:40:00Z" w:original="Section %2:1:0:."/>
        </w:numPr>
        <w:rPr>
          <w:rFonts w:ascii="Century Gothic" w:hAnsi="Century Gothic"/>
        </w:rPr>
      </w:pPr>
      <w:bookmarkStart w:id="3" w:name="_Toc268763063"/>
      <w:r w:rsidRPr="0000081F">
        <w:rPr>
          <w:rFonts w:ascii="Century Gothic" w:hAnsi="Century Gothic"/>
          <w:b/>
        </w:rPr>
        <w:t xml:space="preserve">Overview.  The Global Ambassadors </w:t>
      </w:r>
      <w:r w:rsidRPr="0000081F">
        <w:rPr>
          <w:rFonts w:ascii="Century Gothic" w:hAnsi="Century Gothic"/>
        </w:rPr>
        <w:t xml:space="preserve">will be a group of outstanding and visible individuals, from within or outside the Membership Council, leaders in their fields, that will help further the mission and vision of the GSTC, through their financial contributions, access to networks, or public visibility.  </w:t>
      </w:r>
      <w:bookmarkEnd w:id="3"/>
    </w:p>
    <w:p w:rsidR="0000081F" w:rsidRPr="0000081F" w:rsidRDefault="0000081F" w:rsidP="0000081F">
      <w:pPr>
        <w:pStyle w:val="BylawsL2"/>
        <w:numPr>
          <w:numberingChange w:id="4" w:author="Janice Lichtenwaldt" w:date="2011-06-21T08:40:00Z" w:original="Section %2:2:0:."/>
        </w:numPr>
        <w:rPr>
          <w:rFonts w:ascii="Century Gothic" w:hAnsi="Century Gothic"/>
        </w:rPr>
      </w:pPr>
      <w:bookmarkStart w:id="5" w:name="_Toc268763064"/>
      <w:r w:rsidRPr="0000081F">
        <w:rPr>
          <w:rFonts w:ascii="Century Gothic" w:hAnsi="Century Gothic"/>
          <w:b/>
        </w:rPr>
        <w:t xml:space="preserve">Objectives.  </w:t>
      </w:r>
      <w:r w:rsidRPr="0000081F">
        <w:rPr>
          <w:rFonts w:ascii="Century Gothic" w:hAnsi="Century Gothic"/>
        </w:rPr>
        <w:t xml:space="preserve">The objectives of the Global Ambassadors are to provide the Board and GSTC strategic guidance and financial resources to accomplish the mission, vision and objectives of GSTC.  They will also help position the GSTC </w:t>
      </w:r>
      <w:r w:rsidR="00936108" w:rsidRPr="0000081F">
        <w:rPr>
          <w:rFonts w:ascii="Century Gothic" w:hAnsi="Century Gothic"/>
        </w:rPr>
        <w:t xml:space="preserve">within </w:t>
      </w:r>
      <w:r w:rsidR="00936108">
        <w:rPr>
          <w:rFonts w:ascii="Century Gothic" w:hAnsi="Century Gothic"/>
        </w:rPr>
        <w:t xml:space="preserve">the </w:t>
      </w:r>
      <w:r w:rsidR="00936108" w:rsidRPr="0000081F">
        <w:rPr>
          <w:rFonts w:ascii="Century Gothic" w:hAnsi="Century Gothic"/>
        </w:rPr>
        <w:t>business</w:t>
      </w:r>
      <w:r w:rsidRPr="0000081F">
        <w:rPr>
          <w:rFonts w:ascii="Century Gothic" w:hAnsi="Century Gothic"/>
        </w:rPr>
        <w:t xml:space="preserve"> </w:t>
      </w:r>
      <w:r w:rsidR="00936108">
        <w:rPr>
          <w:rFonts w:ascii="Century Gothic" w:hAnsi="Century Gothic"/>
        </w:rPr>
        <w:t xml:space="preserve">community </w:t>
      </w:r>
      <w:r w:rsidRPr="0000081F">
        <w:rPr>
          <w:rFonts w:ascii="Century Gothic" w:hAnsi="Century Gothic"/>
        </w:rPr>
        <w:t xml:space="preserve">and to the general public. </w:t>
      </w:r>
      <w:bookmarkEnd w:id="5"/>
    </w:p>
    <w:p w:rsidR="0000081F" w:rsidRPr="0000081F" w:rsidRDefault="0000081F" w:rsidP="0000081F">
      <w:pPr>
        <w:pStyle w:val="BylawsL2"/>
        <w:numPr>
          <w:numberingChange w:id="6" w:author="Janice Lichtenwaldt" w:date="2011-06-21T08:40:00Z" w:original="Section %2:3:0:."/>
        </w:numPr>
        <w:rPr>
          <w:rFonts w:ascii="Century Gothic" w:hAnsi="Century Gothic"/>
        </w:rPr>
      </w:pPr>
      <w:bookmarkStart w:id="7" w:name="_Toc268763065"/>
      <w:r w:rsidRPr="0000081F">
        <w:rPr>
          <w:rFonts w:ascii="Century Gothic" w:hAnsi="Century Gothic"/>
          <w:b/>
        </w:rPr>
        <w:t xml:space="preserve">Responsibilities.  </w:t>
      </w:r>
      <w:r w:rsidRPr="0000081F">
        <w:rPr>
          <w:rFonts w:ascii="Century Gothic" w:hAnsi="Century Gothic"/>
        </w:rPr>
        <w:t>The Global Ambassadors do not create policy but serv</w:t>
      </w:r>
      <w:r w:rsidR="00936108">
        <w:rPr>
          <w:rFonts w:ascii="Century Gothic" w:hAnsi="Century Gothic"/>
        </w:rPr>
        <w:t>e</w:t>
      </w:r>
      <w:r w:rsidRPr="0000081F">
        <w:rPr>
          <w:rFonts w:ascii="Century Gothic" w:hAnsi="Century Gothic"/>
        </w:rPr>
        <w:t xml:space="preserve"> as an important resource to guide the mission, vision and objectives of the organization.  If they bring particular expertise they may be called upon to reflect upon particular decisions or to provide guidance to the Board, Secretariat or Working Groups.</w:t>
      </w:r>
      <w:bookmarkEnd w:id="7"/>
    </w:p>
    <w:p w:rsidR="0000081F" w:rsidRPr="0000081F" w:rsidRDefault="0000081F" w:rsidP="0000081F">
      <w:pPr>
        <w:pStyle w:val="BylawsL2"/>
        <w:numPr>
          <w:numberingChange w:id="8" w:author="Janice Lichtenwaldt" w:date="2011-06-21T08:40:00Z" w:original="Section %2:4:0:."/>
        </w:numPr>
        <w:rPr>
          <w:rFonts w:ascii="Century Gothic" w:hAnsi="Century Gothic"/>
        </w:rPr>
      </w:pPr>
      <w:bookmarkStart w:id="9" w:name="_Toc268763066"/>
      <w:r w:rsidRPr="0000081F">
        <w:rPr>
          <w:rFonts w:ascii="Century Gothic" w:hAnsi="Century Gothic"/>
          <w:b/>
        </w:rPr>
        <w:t xml:space="preserve">Size and Composition.  </w:t>
      </w:r>
      <w:r w:rsidRPr="0000081F">
        <w:rPr>
          <w:rFonts w:ascii="Century Gothic" w:hAnsi="Century Gothic"/>
        </w:rPr>
        <w:t>The Global Ambassadors will not have a size limit.  Global Advisors   will serve for a period of two years, with the possibility of serving subsequent terms, based on decision of the Board.</w:t>
      </w:r>
      <w:bookmarkStart w:id="10" w:name="_Toc268763068"/>
      <w:bookmarkEnd w:id="9"/>
    </w:p>
    <w:bookmarkEnd w:id="10"/>
    <w:p w:rsidR="00170FFE" w:rsidRDefault="00170FFE" w:rsidP="008A2C99">
      <w:pPr>
        <w:rPr>
          <w:rFonts w:ascii="Century Gothic" w:hAnsi="Century Gothic"/>
          <w:b/>
        </w:rPr>
      </w:pPr>
    </w:p>
    <w:p w:rsidR="008A2C99" w:rsidRPr="008A2C99" w:rsidRDefault="008A2C99" w:rsidP="008A2C99">
      <w:pPr>
        <w:rPr>
          <w:rFonts w:ascii="Century Gothic" w:hAnsi="Century Gothic"/>
          <w:b/>
        </w:rPr>
      </w:pPr>
      <w:proofErr w:type="gramStart"/>
      <w:r w:rsidRPr="008A2C99">
        <w:rPr>
          <w:rFonts w:ascii="Century Gothic" w:hAnsi="Century Gothic"/>
          <w:b/>
        </w:rPr>
        <w:t xml:space="preserve">ARTICLE  </w:t>
      </w:r>
      <w:r w:rsidR="00170FFE">
        <w:rPr>
          <w:rFonts w:ascii="Century Gothic" w:hAnsi="Century Gothic"/>
          <w:b/>
        </w:rPr>
        <w:t>XI</w:t>
      </w:r>
      <w:proofErr w:type="gramEnd"/>
      <w:r w:rsidRPr="008A2C99">
        <w:rPr>
          <w:rFonts w:ascii="Century Gothic" w:hAnsi="Century Gothic"/>
          <w:b/>
        </w:rPr>
        <w:t xml:space="preserve"> – ACCREDITATION</w:t>
      </w:r>
    </w:p>
    <w:p w:rsidR="008A2C99" w:rsidRDefault="008A2C99" w:rsidP="008A2C99">
      <w:pPr>
        <w:rPr>
          <w:rFonts w:ascii="Century Gothic" w:hAnsi="Century Gothic"/>
        </w:rPr>
      </w:pPr>
    </w:p>
    <w:p w:rsidR="008A2C99" w:rsidRPr="008A2C99" w:rsidRDefault="008A2C99" w:rsidP="00170FFE">
      <w:pPr>
        <w:spacing w:line="360" w:lineRule="auto"/>
      </w:pPr>
      <w:r w:rsidRPr="00170FFE">
        <w:rPr>
          <w:rFonts w:ascii="Century Gothic" w:hAnsi="Century Gothic"/>
          <w:b/>
        </w:rPr>
        <w:t>Resolution</w:t>
      </w:r>
      <w:r>
        <w:rPr>
          <w:rFonts w:ascii="Century Gothic" w:hAnsi="Century Gothic"/>
        </w:rPr>
        <w:t xml:space="preserve">:  </w:t>
      </w:r>
      <w:r w:rsidR="00170FFE">
        <w:rPr>
          <w:rFonts w:ascii="Century Gothic" w:hAnsi="Century Gothic" w:cs="Times New Roman"/>
        </w:rPr>
        <w:t xml:space="preserve">This resolution will be determined by discussion of the board after the presentation of the Chair of the Accreditation Panel.  It may require revisions to the current text. </w:t>
      </w:r>
    </w:p>
    <w:sectPr w:rsidR="008A2C99" w:rsidRPr="008A2C99" w:rsidSect="00207F51">
      <w:headerReference w:type="default" r:id="rId7"/>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81F" w:rsidRDefault="0000081F" w:rsidP="00ED4927">
      <w:r>
        <w:separator/>
      </w:r>
    </w:p>
  </w:endnote>
  <w:endnote w:type="continuationSeparator" w:id="0">
    <w:p w:rsidR="0000081F" w:rsidRDefault="0000081F" w:rsidP="00ED49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81F" w:rsidRDefault="0000081F" w:rsidP="00ED4927">
      <w:r>
        <w:separator/>
      </w:r>
    </w:p>
  </w:footnote>
  <w:footnote w:type="continuationSeparator" w:id="0">
    <w:p w:rsidR="0000081F" w:rsidRDefault="0000081F" w:rsidP="00ED492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81F" w:rsidRPr="00425CB5" w:rsidRDefault="0000081F" w:rsidP="008D7035">
    <w:pPr>
      <w:pStyle w:val="Header"/>
      <w:jc w:val="center"/>
      <w:rPr>
        <w:rFonts w:ascii="Century Gothic" w:hAnsi="Century Gothic"/>
        <w:sz w:val="36"/>
      </w:rPr>
    </w:pPr>
    <w:r w:rsidRPr="00425CB5">
      <w:rPr>
        <w:rFonts w:ascii="Century Gothic" w:hAnsi="Century Gothic"/>
        <w:sz w:val="36"/>
      </w:rPr>
      <w:t>GLOBAL SUSTAINABLE TOURISM COUNCIL</w:t>
    </w:r>
  </w:p>
  <w:p w:rsidR="0000081F" w:rsidRPr="00D760B7" w:rsidRDefault="0000081F" w:rsidP="008D7035">
    <w:pPr>
      <w:pStyle w:val="Header"/>
      <w:jc w:val="center"/>
    </w:pPr>
    <w:r>
      <w:rPr>
        <w:noProof/>
      </w:rPr>
      <w:drawing>
        <wp:inline distT="0" distB="0" distL="0" distR="0">
          <wp:extent cx="5486400" cy="101600"/>
          <wp:effectExtent l="25400" t="0" r="0" b="0"/>
          <wp:docPr id="2" nam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7"/>
                  <pic:cNvPicPr>
                    <a:picLocks noChangeAspect="1" noChangeArrowheads="1"/>
                  </pic:cNvPicPr>
                </pic:nvPicPr>
                <pic:blipFill>
                  <a:blip r:embed="rId1"/>
                  <a:srcRect/>
                  <a:stretch>
                    <a:fillRect/>
                  </a:stretch>
                </pic:blipFill>
                <pic:spPr bwMode="auto">
                  <a:xfrm>
                    <a:off x="0" y="0"/>
                    <a:ext cx="5486400" cy="101600"/>
                  </a:xfrm>
                  <a:prstGeom prst="rect">
                    <a:avLst/>
                  </a:prstGeom>
                  <a:noFill/>
                  <a:ln w="9525">
                    <a:noFill/>
                    <a:miter lim="800000"/>
                    <a:headEnd/>
                    <a:tailEnd/>
                  </a:ln>
                </pic:spPr>
              </pic:pic>
            </a:graphicData>
          </a:graphic>
        </wp:inline>
      </w:drawing>
    </w:r>
  </w:p>
  <w:p w:rsidR="0000081F" w:rsidRDefault="0000081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855D6"/>
    <w:multiLevelType w:val="hybridMultilevel"/>
    <w:tmpl w:val="568E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2163577"/>
    <w:multiLevelType w:val="hybridMultilevel"/>
    <w:tmpl w:val="95DEEC8C"/>
    <w:lvl w:ilvl="0" w:tplc="92AEA902">
      <w:start w:val="1"/>
      <w:numFmt w:val="decimal"/>
      <w:pStyle w:val="BodyText3"/>
      <w:lvlText w:val="%1."/>
      <w:lvlJc w:val="left"/>
      <w:pPr>
        <w:tabs>
          <w:tab w:val="num" w:pos="907"/>
        </w:tabs>
        <w:ind w:left="907" w:hanging="54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63EA454C"/>
    <w:multiLevelType w:val="multilevel"/>
    <w:tmpl w:val="F3ACAA16"/>
    <w:name w:val="zzmpBylaws||Bylaws|2|1|1|4|2|45||1|2|1||1|2|1||1|2|1||1|2|0||mpNA||mpNA||mpNA||mpNA||"/>
    <w:lvl w:ilvl="0">
      <w:start w:val="1"/>
      <w:numFmt w:val="upperRoman"/>
      <w:pStyle w:val="BylawsL1"/>
      <w:suff w:val="nothing"/>
      <w:lvlText w:val="ARTICLE %1"/>
      <w:lvlJc w:val="left"/>
      <w:pPr>
        <w:tabs>
          <w:tab w:val="num" w:pos="720"/>
        </w:tabs>
        <w:ind w:left="0" w:firstLine="0"/>
      </w:pPr>
      <w:rPr>
        <w:b/>
        <w:i w:val="0"/>
        <w:caps/>
        <w:smallCaps w:val="0"/>
        <w:strike w:val="0"/>
        <w:dstrike w:val="0"/>
        <w:outline w:val="0"/>
        <w:shadow w:val="0"/>
        <w:emboss w:val="0"/>
        <w:imprint w:val="0"/>
        <w:vanish w:val="0"/>
        <w:u w:val="single"/>
        <w:effect w:val="none"/>
        <w:vertAlign w:val="baseline"/>
      </w:rPr>
    </w:lvl>
    <w:lvl w:ilvl="1">
      <w:start w:val="1"/>
      <w:numFmt w:val="decimal"/>
      <w:pStyle w:val="BylawsL2"/>
      <w:lvlText w:val="Section %2."/>
      <w:lvlJc w:val="left"/>
      <w:pPr>
        <w:tabs>
          <w:tab w:val="num" w:pos="2340"/>
        </w:tabs>
        <w:ind w:left="900" w:firstLine="0"/>
      </w:pPr>
      <w:rPr>
        <w:b/>
        <w:i w:val="0"/>
        <w:caps w:val="0"/>
        <w:smallCaps w:val="0"/>
        <w:strike w:val="0"/>
        <w:dstrike w:val="0"/>
        <w:outline w:val="0"/>
        <w:shadow w:val="0"/>
        <w:emboss w:val="0"/>
        <w:imprint w:val="0"/>
        <w:vanish w:val="0"/>
        <w:u w:val="none"/>
        <w:effect w:val="none"/>
        <w:vertAlign w:val="baseline"/>
      </w:rPr>
    </w:lvl>
    <w:lvl w:ilvl="2">
      <w:start w:val="1"/>
      <w:numFmt w:val="lowerLetter"/>
      <w:pStyle w:val="BylawsL3"/>
      <w:lvlText w:val="(%3)"/>
      <w:lvlJc w:val="left"/>
      <w:pPr>
        <w:tabs>
          <w:tab w:val="num" w:pos="2880"/>
        </w:tabs>
        <w:ind w:left="720" w:firstLine="1440"/>
      </w:pPr>
      <w:rPr>
        <w:b w:val="0"/>
        <w:i w:val="0"/>
        <w:caps w:val="0"/>
        <w:smallCaps w:val="0"/>
        <w:strike w:val="0"/>
        <w:dstrike w:val="0"/>
        <w:outline w:val="0"/>
        <w:shadow w:val="0"/>
        <w:emboss w:val="0"/>
        <w:imprint w:val="0"/>
        <w:vanish w:val="0"/>
        <w:u w:val="none"/>
        <w:effect w:val="none"/>
        <w:vertAlign w:val="baseline"/>
      </w:rPr>
    </w:lvl>
    <w:lvl w:ilvl="3">
      <w:start w:val="1"/>
      <w:numFmt w:val="decimal"/>
      <w:pStyle w:val="BylawsL4"/>
      <w:lvlText w:val="(%4)"/>
      <w:lvlJc w:val="left"/>
      <w:pPr>
        <w:tabs>
          <w:tab w:val="num" w:pos="3600"/>
        </w:tabs>
        <w:ind w:left="720" w:firstLine="2160"/>
      </w:pPr>
      <w:rPr>
        <w:b w:val="0"/>
        <w:i w:val="0"/>
        <w:caps w:val="0"/>
        <w:smallCaps w:val="0"/>
        <w:strike w:val="0"/>
        <w:dstrike w:val="0"/>
        <w:outline w:val="0"/>
        <w:shadow w:val="0"/>
        <w:emboss w:val="0"/>
        <w:imprint w:val="0"/>
        <w:vanish w:val="0"/>
        <w:u w:val="none"/>
        <w:effect w:val="none"/>
        <w:vertAlign w:val="baseline"/>
      </w:rPr>
    </w:lvl>
    <w:lvl w:ilvl="4">
      <w:start w:val="1"/>
      <w:numFmt w:val="lowerRoman"/>
      <w:pStyle w:val="BylawsL5"/>
      <w:lvlText w:val="(%5)"/>
      <w:lvlJc w:val="right"/>
      <w:pPr>
        <w:tabs>
          <w:tab w:val="num" w:pos="4320"/>
        </w:tabs>
        <w:ind w:left="720" w:firstLine="3024"/>
      </w:pPr>
      <w:rPr>
        <w:b w:val="0"/>
        <w:i w:val="0"/>
        <w:caps w:val="0"/>
        <w:smallCaps w:val="0"/>
        <w:strike w:val="0"/>
        <w:dstrike w:val="0"/>
        <w:outline w:val="0"/>
        <w:shadow w:val="0"/>
        <w:emboss w:val="0"/>
        <w:imprint w:val="0"/>
        <w:vanish w:val="0"/>
        <w:u w:val="none"/>
        <w:effect w:val="none"/>
        <w:vertAlign w:val="baseline"/>
      </w:rPr>
    </w:lvl>
    <w:lvl w:ilvl="5">
      <w:start w:val="1"/>
      <w:numFmt w:val="none"/>
      <w:lvlText w:val=""/>
      <w:lvlJc w:val="left"/>
      <w:pPr>
        <w:tabs>
          <w:tab w:val="num" w:pos="720"/>
        </w:tabs>
        <w:ind w:left="720" w:firstLine="0"/>
      </w:pPr>
      <w:rPr>
        <w:b w:val="0"/>
        <w:i w:val="0"/>
        <w:caps w:val="0"/>
        <w:smallCaps w:val="0"/>
        <w:strike w:val="0"/>
        <w:dstrike w:val="0"/>
        <w:outline w:val="0"/>
        <w:shadow w:val="0"/>
        <w:emboss w:val="0"/>
        <w:imprint w:val="0"/>
        <w:vanish w:val="0"/>
        <w:u w:val="none"/>
        <w:effect w:val="none"/>
        <w:vertAlign w:val="baseline"/>
      </w:rPr>
    </w:lvl>
    <w:lvl w:ilvl="6">
      <w:start w:val="1"/>
      <w:numFmt w:val="none"/>
      <w:lvlText w:val=""/>
      <w:lvlJc w:val="left"/>
      <w:pPr>
        <w:tabs>
          <w:tab w:val="num" w:pos="720"/>
        </w:tabs>
        <w:ind w:left="720" w:firstLine="0"/>
      </w:pPr>
      <w:rPr>
        <w:b w:val="0"/>
        <w:i w:val="0"/>
        <w:caps w:val="0"/>
        <w:smallCaps w:val="0"/>
        <w:strike w:val="0"/>
        <w:dstrike w:val="0"/>
        <w:outline w:val="0"/>
        <w:shadow w:val="0"/>
        <w:emboss w:val="0"/>
        <w:imprint w:val="0"/>
        <w:vanish w:val="0"/>
        <w:u w:val="none"/>
        <w:effect w:val="none"/>
        <w:vertAlign w:val="baseline"/>
      </w:rPr>
    </w:lvl>
    <w:lvl w:ilvl="7">
      <w:start w:val="1"/>
      <w:numFmt w:val="none"/>
      <w:lvlText w:val=""/>
      <w:lvlJc w:val="left"/>
      <w:pPr>
        <w:tabs>
          <w:tab w:val="num" w:pos="720"/>
        </w:tabs>
        <w:ind w:left="720" w:firstLine="0"/>
      </w:pPr>
      <w:rPr>
        <w:b w:val="0"/>
        <w:i w:val="0"/>
        <w:caps w:val="0"/>
        <w:smallCaps w:val="0"/>
        <w:strike w:val="0"/>
        <w:dstrike w:val="0"/>
        <w:outline w:val="0"/>
        <w:shadow w:val="0"/>
        <w:emboss w:val="0"/>
        <w:imprint w:val="0"/>
        <w:vanish w:val="0"/>
        <w:u w:val="none"/>
        <w:effect w:val="none"/>
        <w:vertAlign w:val="baseline"/>
      </w:rPr>
    </w:lvl>
    <w:lvl w:ilvl="8">
      <w:start w:val="1"/>
      <w:numFmt w:val="none"/>
      <w:lvlText w:val=""/>
      <w:lvlJc w:val="left"/>
      <w:pPr>
        <w:tabs>
          <w:tab w:val="num" w:pos="720"/>
        </w:tabs>
        <w:ind w:left="720" w:firstLine="0"/>
      </w:pPr>
      <w:rPr>
        <w:b w:val="0"/>
        <w:i w:val="0"/>
        <w:caps w:val="0"/>
        <w:smallCaps w:val="0"/>
        <w:strike w:val="0"/>
        <w:dstrike w:val="0"/>
        <w:outline w:val="0"/>
        <w:shadow w:val="0"/>
        <w:emboss w:val="0"/>
        <w:imprint w:val="0"/>
        <w:vanish w:val="0"/>
        <w:u w:val="none"/>
        <w:effect w:val="none"/>
        <w:vertAlign w:val="baseline"/>
      </w:rPr>
    </w:lvl>
  </w:abstractNum>
  <w:num w:numId="1">
    <w:abstractNumId w:val="1"/>
    <w:lvlOverride w:ilvl="0">
      <w:startOverride w:val="1"/>
    </w:lvlOverride>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8D7035"/>
    <w:rsid w:val="0000081F"/>
    <w:rsid w:val="000532CE"/>
    <w:rsid w:val="00063890"/>
    <w:rsid w:val="00091F9E"/>
    <w:rsid w:val="00170FFE"/>
    <w:rsid w:val="00192FBE"/>
    <w:rsid w:val="001F67B7"/>
    <w:rsid w:val="00207F51"/>
    <w:rsid w:val="002F06DA"/>
    <w:rsid w:val="003A0E59"/>
    <w:rsid w:val="00416A1C"/>
    <w:rsid w:val="004C7F15"/>
    <w:rsid w:val="0055333D"/>
    <w:rsid w:val="0059070F"/>
    <w:rsid w:val="006A6733"/>
    <w:rsid w:val="00772BE9"/>
    <w:rsid w:val="008A2C99"/>
    <w:rsid w:val="008D7035"/>
    <w:rsid w:val="00936108"/>
    <w:rsid w:val="0095581A"/>
    <w:rsid w:val="00A71272"/>
    <w:rsid w:val="00A713E4"/>
    <w:rsid w:val="00B5089F"/>
    <w:rsid w:val="00C05F97"/>
    <w:rsid w:val="00C142C2"/>
    <w:rsid w:val="00C671F8"/>
    <w:rsid w:val="00D625B7"/>
    <w:rsid w:val="00E17EBB"/>
    <w:rsid w:val="00ED4927"/>
    <w:rsid w:val="00F97528"/>
    <w:rsid w:val="00FC6D80"/>
    <w:rsid w:val="00FF7D3D"/>
  </w:rsids>
  <m:mathPr>
    <m:mathFont m:val="Century Gothic"/>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4F"/>
    <w:rPr>
      <w:sz w:val="24"/>
      <w:szCs w:val="24"/>
    </w:rPr>
  </w:style>
  <w:style w:type="paragraph" w:styleId="Heading2">
    <w:name w:val="heading 2"/>
    <w:basedOn w:val="Normal"/>
    <w:next w:val="Normal"/>
    <w:link w:val="Heading2Char"/>
    <w:uiPriority w:val="9"/>
    <w:unhideWhenUsed/>
    <w:qFormat/>
    <w:rsid w:val="00B508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F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8D7035"/>
    <w:rPr>
      <w:color w:val="0000FF"/>
      <w:u w:val="single"/>
    </w:rPr>
  </w:style>
  <w:style w:type="paragraph" w:styleId="Header">
    <w:name w:val="header"/>
    <w:basedOn w:val="Normal"/>
    <w:link w:val="HeaderChar"/>
    <w:uiPriority w:val="99"/>
    <w:unhideWhenUsed/>
    <w:rsid w:val="008D7035"/>
    <w:pPr>
      <w:tabs>
        <w:tab w:val="center" w:pos="4320"/>
        <w:tab w:val="right" w:pos="8640"/>
      </w:tabs>
    </w:pPr>
  </w:style>
  <w:style w:type="character" w:customStyle="1" w:styleId="HeaderChar">
    <w:name w:val="Header Char"/>
    <w:basedOn w:val="DefaultParagraphFont"/>
    <w:link w:val="Header"/>
    <w:uiPriority w:val="99"/>
    <w:rsid w:val="008D7035"/>
    <w:rPr>
      <w:sz w:val="24"/>
      <w:szCs w:val="24"/>
    </w:rPr>
  </w:style>
  <w:style w:type="paragraph" w:styleId="Footer">
    <w:name w:val="footer"/>
    <w:basedOn w:val="Normal"/>
    <w:link w:val="FooterChar"/>
    <w:uiPriority w:val="99"/>
    <w:semiHidden/>
    <w:unhideWhenUsed/>
    <w:rsid w:val="008D7035"/>
    <w:pPr>
      <w:tabs>
        <w:tab w:val="center" w:pos="4320"/>
        <w:tab w:val="right" w:pos="8640"/>
      </w:tabs>
    </w:pPr>
  </w:style>
  <w:style w:type="character" w:customStyle="1" w:styleId="FooterChar">
    <w:name w:val="Footer Char"/>
    <w:basedOn w:val="DefaultParagraphFont"/>
    <w:link w:val="Footer"/>
    <w:uiPriority w:val="99"/>
    <w:semiHidden/>
    <w:rsid w:val="008D7035"/>
    <w:rPr>
      <w:sz w:val="24"/>
      <w:szCs w:val="24"/>
    </w:rPr>
  </w:style>
  <w:style w:type="paragraph" w:styleId="BalloonText">
    <w:name w:val="Balloon Text"/>
    <w:basedOn w:val="Normal"/>
    <w:link w:val="BalloonTextChar"/>
    <w:uiPriority w:val="99"/>
    <w:semiHidden/>
    <w:unhideWhenUsed/>
    <w:rsid w:val="0059070F"/>
    <w:rPr>
      <w:rFonts w:ascii="Tahoma" w:hAnsi="Tahoma" w:cs="Tahoma"/>
      <w:sz w:val="16"/>
      <w:szCs w:val="16"/>
    </w:rPr>
  </w:style>
  <w:style w:type="character" w:customStyle="1" w:styleId="BalloonTextChar">
    <w:name w:val="Balloon Text Char"/>
    <w:basedOn w:val="DefaultParagraphFont"/>
    <w:link w:val="BalloonText"/>
    <w:uiPriority w:val="99"/>
    <w:semiHidden/>
    <w:rsid w:val="0059070F"/>
    <w:rPr>
      <w:rFonts w:ascii="Tahoma" w:hAnsi="Tahoma" w:cs="Tahoma"/>
      <w:sz w:val="16"/>
      <w:szCs w:val="16"/>
    </w:rPr>
  </w:style>
  <w:style w:type="paragraph" w:styleId="Title">
    <w:name w:val="Title"/>
    <w:basedOn w:val="Normal"/>
    <w:next w:val="Normal"/>
    <w:link w:val="TitleChar"/>
    <w:uiPriority w:val="10"/>
    <w:qFormat/>
    <w:rsid w:val="005907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70F"/>
    <w:rPr>
      <w:rFonts w:asciiTheme="majorHAnsi" w:eastAsiaTheme="majorEastAsia" w:hAnsiTheme="majorHAnsi" w:cstheme="majorBidi"/>
      <w:color w:val="17365D" w:themeColor="text2" w:themeShade="BF"/>
      <w:spacing w:val="5"/>
      <w:kern w:val="28"/>
      <w:sz w:val="52"/>
      <w:szCs w:val="52"/>
    </w:rPr>
  </w:style>
  <w:style w:type="paragraph" w:styleId="BodyText3">
    <w:name w:val="Body Text 3"/>
    <w:basedOn w:val="Normal"/>
    <w:link w:val="BodyText3Char"/>
    <w:uiPriority w:val="99"/>
    <w:rsid w:val="0059070F"/>
    <w:pPr>
      <w:numPr>
        <w:numId w:val="1"/>
      </w:numPr>
      <w:spacing w:line="360" w:lineRule="auto"/>
      <w:jc w:val="both"/>
    </w:pPr>
    <w:rPr>
      <w:rFonts w:ascii="Times New Roman" w:eastAsia="Times New Roman" w:hAnsi="Times New Roman" w:cs="Times New Roman"/>
      <w:bCs/>
      <w:szCs w:val="20"/>
    </w:rPr>
  </w:style>
  <w:style w:type="character" w:customStyle="1" w:styleId="BodyText3Char">
    <w:name w:val="Body Text 3 Char"/>
    <w:basedOn w:val="DefaultParagraphFont"/>
    <w:link w:val="BodyText3"/>
    <w:uiPriority w:val="99"/>
    <w:rsid w:val="0059070F"/>
    <w:rPr>
      <w:rFonts w:ascii="Times New Roman" w:eastAsia="Times New Roman" w:hAnsi="Times New Roman" w:cs="Times New Roman"/>
      <w:bCs/>
      <w:sz w:val="24"/>
    </w:rPr>
  </w:style>
  <w:style w:type="paragraph" w:styleId="ListParagraph">
    <w:name w:val="List Paragraph"/>
    <w:basedOn w:val="Normal"/>
    <w:uiPriority w:val="34"/>
    <w:qFormat/>
    <w:rsid w:val="0059070F"/>
    <w:pPr>
      <w:ind w:left="720"/>
      <w:contextualSpacing/>
    </w:pPr>
  </w:style>
  <w:style w:type="character" w:customStyle="1" w:styleId="Heading2Char">
    <w:name w:val="Heading 2 Char"/>
    <w:basedOn w:val="DefaultParagraphFont"/>
    <w:link w:val="Heading2"/>
    <w:uiPriority w:val="9"/>
    <w:rsid w:val="00B508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1F9E"/>
    <w:rPr>
      <w:rFonts w:asciiTheme="majorHAnsi" w:eastAsiaTheme="majorEastAsia" w:hAnsiTheme="majorHAnsi" w:cstheme="majorBidi"/>
      <w:b/>
      <w:bCs/>
      <w:color w:val="4F81BD" w:themeColor="accent1"/>
      <w:sz w:val="24"/>
      <w:szCs w:val="24"/>
    </w:rPr>
  </w:style>
  <w:style w:type="paragraph" w:customStyle="1" w:styleId="BylawsCont1">
    <w:name w:val="Bylaws Cont 1"/>
    <w:basedOn w:val="Normal"/>
    <w:rsid w:val="00C671F8"/>
    <w:pPr>
      <w:spacing w:after="240" w:line="360" w:lineRule="auto"/>
      <w:jc w:val="both"/>
    </w:pPr>
    <w:rPr>
      <w:rFonts w:ascii="Times New Roman" w:eastAsia="Times New Roman" w:hAnsi="Times New Roman" w:cs="Times New Roman"/>
      <w:szCs w:val="20"/>
    </w:rPr>
  </w:style>
  <w:style w:type="paragraph" w:customStyle="1" w:styleId="BylawsL1">
    <w:name w:val="Bylaws_L1"/>
    <w:basedOn w:val="Normal"/>
    <w:next w:val="BodyText"/>
    <w:rsid w:val="0000081F"/>
    <w:pPr>
      <w:keepNext/>
      <w:numPr>
        <w:numId w:val="4"/>
      </w:numPr>
      <w:spacing w:line="360" w:lineRule="auto"/>
      <w:jc w:val="center"/>
      <w:outlineLvl w:val="0"/>
    </w:pPr>
    <w:rPr>
      <w:rFonts w:ascii="Times New Roman" w:eastAsia="Times New Roman" w:hAnsi="Times New Roman" w:cs="Times New Roman"/>
      <w:b/>
      <w:caps/>
      <w:szCs w:val="20"/>
      <w:u w:val="single"/>
    </w:rPr>
  </w:style>
  <w:style w:type="paragraph" w:customStyle="1" w:styleId="BylawsL2">
    <w:name w:val="Bylaws_L2"/>
    <w:basedOn w:val="BylawsL1"/>
    <w:next w:val="BodyText"/>
    <w:rsid w:val="0000081F"/>
    <w:pPr>
      <w:keepNext w:val="0"/>
      <w:numPr>
        <w:ilvl w:val="1"/>
      </w:numPr>
      <w:spacing w:before="240" w:after="240"/>
      <w:jc w:val="both"/>
      <w:outlineLvl w:val="1"/>
    </w:pPr>
    <w:rPr>
      <w:b w:val="0"/>
      <w:caps w:val="0"/>
      <w:u w:val="none"/>
    </w:rPr>
  </w:style>
  <w:style w:type="paragraph" w:customStyle="1" w:styleId="BylawsL3">
    <w:name w:val="Bylaws_L3"/>
    <w:basedOn w:val="BylawsL2"/>
    <w:next w:val="BodyText"/>
    <w:rsid w:val="0000081F"/>
    <w:pPr>
      <w:numPr>
        <w:ilvl w:val="2"/>
      </w:numPr>
      <w:spacing w:before="0" w:line="240" w:lineRule="auto"/>
      <w:outlineLvl w:val="2"/>
    </w:pPr>
  </w:style>
  <w:style w:type="paragraph" w:customStyle="1" w:styleId="BylawsL4">
    <w:name w:val="Bylaws_L4"/>
    <w:basedOn w:val="BylawsL3"/>
    <w:next w:val="BodyText"/>
    <w:rsid w:val="0000081F"/>
    <w:pPr>
      <w:numPr>
        <w:ilvl w:val="3"/>
      </w:numPr>
      <w:outlineLvl w:val="3"/>
    </w:pPr>
  </w:style>
  <w:style w:type="paragraph" w:customStyle="1" w:styleId="BylawsL5">
    <w:name w:val="Bylaws_L5"/>
    <w:basedOn w:val="BylawsL4"/>
    <w:next w:val="BodyText"/>
    <w:rsid w:val="0000081F"/>
    <w:pPr>
      <w:numPr>
        <w:ilvl w:val="4"/>
      </w:numPr>
      <w:outlineLvl w:val="4"/>
    </w:pPr>
  </w:style>
  <w:style w:type="paragraph" w:styleId="BodyText">
    <w:name w:val="Body Text"/>
    <w:basedOn w:val="Normal"/>
    <w:link w:val="BodyTextChar"/>
    <w:uiPriority w:val="99"/>
    <w:semiHidden/>
    <w:unhideWhenUsed/>
    <w:rsid w:val="0000081F"/>
    <w:pPr>
      <w:spacing w:after="120"/>
    </w:pPr>
  </w:style>
  <w:style w:type="character" w:customStyle="1" w:styleId="BodyTextChar">
    <w:name w:val="Body Text Char"/>
    <w:basedOn w:val="DefaultParagraphFont"/>
    <w:link w:val="BodyText"/>
    <w:uiPriority w:val="99"/>
    <w:semiHidden/>
    <w:rsid w:val="0000081F"/>
    <w:rPr>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770</Words>
  <Characters>4390</Characters>
  <Application>Microsoft Macintosh Word</Application>
  <DocSecurity>0</DocSecurity>
  <Lines>36</Lines>
  <Paragraphs>8</Paragraphs>
  <ScaleCrop>false</ScaleCrop>
  <HeadingPairs>
    <vt:vector size="2" baseType="variant">
      <vt:variant>
        <vt:lpstr>Title</vt:lpstr>
      </vt:variant>
      <vt:variant>
        <vt:i4>1</vt:i4>
      </vt:variant>
    </vt:vector>
  </HeadingPairs>
  <TitlesOfParts>
    <vt:vector size="1" baseType="lpstr">
      <vt:lpstr/>
    </vt:vector>
  </TitlesOfParts>
  <Company>Bainbridge Graduate Institute</Company>
  <LinksUpToDate>false</LinksUpToDate>
  <CharactersWithSpaces>5391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Lichtenwaldt</dc:creator>
  <cp:lastModifiedBy>Janice Lichtenwaldt</cp:lastModifiedBy>
  <cp:revision>2</cp:revision>
  <dcterms:created xsi:type="dcterms:W3CDTF">2011-06-21T15:41:00Z</dcterms:created>
  <dcterms:modified xsi:type="dcterms:W3CDTF">2011-06-21T15:41:00Z</dcterms:modified>
</cp:coreProperties>
</file>