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Noto Sans" w:hAnsi="Noto Sans" w:cs="Noto Sans"/>
          <w:b/>
          <w:color w:val="17365D"/>
          <w:sz w:val="68"/>
        </w:rPr>
        <w:t>SaQshi</w:t>
      </w:r>
    </w:p>
    <w:p>
      <w:pPr>
        <w:spacing w:before="80" w:after="160" w:line="259" w:lineRule="auto"/>
        <w:jc w:val="center"/>
      </w:pPr>
      <w:r>
        <w:rPr>
          <w:rFonts w:ascii="Noto Sans" w:hAnsi="Noto Sans" w:cs="Noto Sans"/>
          <w:b/>
          <w:color w:val="1F4E78"/>
          <w:sz w:val="40"/>
        </w:rPr>
        <w:t>Use Cases for Digital Public Good (DPG) Documentation</w:t>
      </w:r>
    </w:p>
    <w:p>
      <w:pPr>
        <w:spacing w:before="0" w:after="400" w:line="259" w:lineRule="auto"/>
        <w:jc w:val="center"/>
      </w:pPr>
      <w:r>
        <w:rPr>
          <w:rFonts w:ascii="Noto Sans" w:hAnsi="Noto Sans" w:cs="Noto Sans"/>
          <w:color w:val="0F6B78"/>
          <w:sz w:val="24"/>
        </w:rPr>
        <w:t>Open Digital Platform for Healthcare Quality Assessment, Continuous Quality Improvement, Performance Monitoring and Certification</w:t>
      </w:r>
    </w:p>
    <w:tbl>
      <w:tblPr>
        <w:tblW w:type="dxa" w:w="9504"/>
        <w:tblLayout w:type="fixed"/>
        <w:tblLook w:firstColumn="1" w:firstRow="1" w:lastColumn="0" w:lastRow="0" w:noHBand="0" w:noVBand="1" w:val="04A0"/>
        <w:jc w:val="center"/>
        <w:tblInd w:type="dxa" w:w="0"/>
        <w:tblCellMar>
          <w:top w:w="50" w:type="dxa"/>
          <w:left w:w="80" w:type="dxa"/>
          <w:bottom w:w="50" w:type="dxa"/>
          <w:right w:w="80" w:type="dxa"/>
        </w:tblCellMar>
      </w:tblPr>
      <w:tblGrid>
        <w:gridCol w:w="3168"/>
        <w:gridCol w:w="3168"/>
        <w:gridCol w:w="3168"/>
      </w:tblGrid>
      <w:tr>
        <w:trPr>
          <w:cantSplit/>
        </w:trPr>
        <w:tc>
          <w:tcPr>
            <w:tcW w:type="dxa" w:w="3168"/>
            <w:shd w:fill="1F4E78"/>
            <w:vAlign w:val="center"/>
            <w:tcMar>
              <w:top w:w="90" w:type="dxa"/>
              <w:start w:w="100" w:type="dxa"/>
              <w:bottom w:w="90" w:type="dxa"/>
              <w:end w:w="100" w:type="dxa"/>
            </w:tcMar>
            <w:tcBorders>
              <w:top w:val="nil"/>
              <w:start w:val="nil"/>
              <w:bottom w:val="nil"/>
              <w:end w:val="nil"/>
            </w:tcBorders>
          </w:tcPr>
          <w:p>
            <w:pPr>
              <w:spacing w:before="0" w:after="0" w:line="240" w:lineRule="auto"/>
              <w:jc w:val="center"/>
            </w:pPr>
            <w:r/>
            <w:r>
              <w:rPr>
                <w:rFonts w:ascii="Noto Sans" w:hAnsi="Noto Sans" w:cs="Noto Sans"/>
                <w:b/>
                <w:color w:val="FFFFFF"/>
                <w:sz w:val="22"/>
              </w:rPr>
              <w:t>ASSESS</w:t>
            </w:r>
          </w:p>
        </w:tc>
        <w:tc>
          <w:tcPr>
            <w:tcW w:type="dxa" w:w="3168"/>
            <w:shd w:fill="0F6B78"/>
            <w:vAlign w:val="center"/>
            <w:tcMar>
              <w:top w:w="90" w:type="dxa"/>
              <w:start w:w="100" w:type="dxa"/>
              <w:bottom w:w="90" w:type="dxa"/>
              <w:end w:w="100" w:type="dxa"/>
            </w:tcMar>
            <w:tcBorders>
              <w:top w:val="nil"/>
              <w:start w:val="nil"/>
              <w:bottom w:val="nil"/>
              <w:end w:val="nil"/>
            </w:tcBorders>
          </w:tcPr>
          <w:p>
            <w:pPr>
              <w:spacing w:before="0" w:after="0" w:line="240" w:lineRule="auto"/>
              <w:jc w:val="center"/>
            </w:pPr>
            <w:r/>
            <w:r>
              <w:rPr>
                <w:rFonts w:ascii="Noto Sans" w:hAnsi="Noto Sans" w:cs="Noto Sans"/>
                <w:b/>
                <w:color w:val="FFFFFF"/>
                <w:sz w:val="22"/>
              </w:rPr>
              <w:t>IMPROVE</w:t>
            </w:r>
          </w:p>
        </w:tc>
        <w:tc>
          <w:tcPr>
            <w:tcW w:type="dxa" w:w="3168"/>
            <w:shd w:fill="3B7A57"/>
            <w:vAlign w:val="center"/>
            <w:tcMar>
              <w:top w:w="90" w:type="dxa"/>
              <w:start w:w="100" w:type="dxa"/>
              <w:bottom w:w="90" w:type="dxa"/>
              <w:end w:w="100" w:type="dxa"/>
            </w:tcMar>
            <w:tcBorders>
              <w:top w:val="nil"/>
              <w:start w:val="nil"/>
              <w:bottom w:val="nil"/>
              <w:end w:val="nil"/>
            </w:tcBorders>
          </w:tcPr>
          <w:p>
            <w:pPr>
              <w:spacing w:before="0" w:after="0" w:line="240" w:lineRule="auto"/>
              <w:jc w:val="center"/>
            </w:pPr>
            <w:r/>
            <w:r>
              <w:rPr>
                <w:rFonts w:ascii="Noto Sans" w:hAnsi="Noto Sans" w:cs="Noto Sans"/>
                <w:b/>
                <w:color w:val="FFFFFF"/>
                <w:sz w:val="22"/>
              </w:rPr>
              <w:t>MONITOR</w:t>
            </w:r>
          </w:p>
        </w:tc>
      </w:tr>
    </w:tbl>
    <w:p>
      <w:pPr>
        <w:spacing w:before="600"/>
        <w:jc w:val="center"/>
      </w:pPr>
      <w:r>
        <w:rPr>
          <w:rFonts w:ascii="Noto Sans" w:hAnsi="Noto Sans" w:cs="Noto Sans"/>
          <w:b/>
          <w:color w:val="404040"/>
          <w:sz w:val="20"/>
        </w:rPr>
        <w:t>Document version 1.0</w:t>
      </w:r>
    </w:p>
    <w:p>
      <w:pPr>
        <w:spacing w:before="0" w:after="80" w:line="259" w:lineRule="auto"/>
        <w:jc w:val="center"/>
      </w:pPr>
      <w:r>
        <w:rPr>
          <w:rFonts w:ascii="Noto Sans" w:hAnsi="Noto Sans" w:cs="Noto Sans"/>
          <w:color w:val="404040"/>
          <w:sz w:val="20"/>
        </w:rPr>
        <w:t>16 July 2026</w:t>
      </w:r>
    </w:p>
    <w:p>
      <w:pPr>
        <w:spacing w:before="0" w:after="60" w:line="259" w:lineRule="auto"/>
        <w:jc w:val="center"/>
      </w:pPr>
      <w:r>
        <w:rPr>
          <w:rFonts w:ascii="Noto Sans" w:hAnsi="Noto Sans" w:cs="Noto Sans"/>
          <w:i/>
          <w:color w:val="666666"/>
          <w:sz w:val="19"/>
        </w:rPr>
        <w:t>Prepared for DPG readiness and nomination documentation</w:t>
      </w:r>
    </w:p>
    <w:p>
      <w:pPr>
        <w:spacing w:before="840"/>
        <w:jc w:val="center"/>
      </w:pPr>
      <w:r>
        <w:rPr>
          <w:rFonts w:ascii="Noto Sans" w:hAnsi="Noto Sans" w:cs="Noto Sans"/>
          <w:b/>
          <w:color w:val="0F6B78"/>
          <w:sz w:val="18"/>
        </w:rPr>
        <w:t>Status: Draft for review</w:t>
      </w:r>
    </w:p>
    <w:p>
      <w:pPr>
        <w:spacing w:before="240" w:after="0" w:line="259" w:lineRule="auto"/>
        <w:jc w:val="center"/>
      </w:pPr>
      <w:r>
        <w:rPr>
          <w:rFonts w:ascii="Noto Sans" w:hAnsi="Noto Sans" w:cs="Noto Sans"/>
          <w:i/>
          <w:color w:val="777777"/>
          <w:sz w:val="17"/>
        </w:rPr>
        <w:t>This document supports a DPG application but does not itself constitute recognition by the Digital Public Goods Alliance.</w:t>
      </w:r>
    </w:p>
    <w:p>
      <w:r>
        <w:br w:type="page"/>
      </w:r>
    </w:p>
    <w:p>
      <w:pPr>
        <w:pStyle w:val="Heading1"/>
        <w:spacing w:before="160" w:after="100" w:line="259" w:lineRule="auto"/>
      </w:pPr>
      <w:r>
        <w:rPr>
          <w:rFonts w:ascii="Noto Sans" w:hAnsi="Noto Sans" w:cs="Noto Sans"/>
          <w:b/>
          <w:color w:val="17365D"/>
          <w:sz w:val="30"/>
        </w:rPr>
        <w:t>Document Control</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554"/>
        <w:gridCol w:w="7238"/>
      </w:tblGrid>
      <w:tr>
        <w:trPr>
          <w:cantSplit/>
        </w:trPr>
        <w:tc>
          <w:tcPr>
            <w:tcW w:type="dxa" w:w="2554"/>
            <w:shd w:fill="EAF3F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17365D"/>
                <w:sz w:val="17"/>
              </w:rPr>
              <w:t>Document title</w:t>
            </w:r>
          </w:p>
        </w:tc>
        <w:tc>
          <w:tcPr>
            <w:tcW w:type="dxa" w:w="723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SaQshi Use Cases for Digital Public Good (DPG) Documentation</w:t>
            </w:r>
          </w:p>
        </w:tc>
      </w:tr>
      <w:tr>
        <w:trPr>
          <w:cantSplit/>
        </w:trPr>
        <w:tc>
          <w:tcPr>
            <w:tcW w:type="dxa" w:w="2554"/>
            <w:shd w:fill="EAF3F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17365D"/>
                <w:sz w:val="17"/>
              </w:rPr>
              <w:t>Version</w:t>
            </w:r>
          </w:p>
        </w:tc>
        <w:tc>
          <w:tcPr>
            <w:tcW w:type="dxa" w:w="723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r>
              <w:t>1.1</w:t>
            </w:r>
          </w:p>
        </w:tc>
      </w:tr>
      <w:tr>
        <w:trPr>
          <w:cantSplit/>
        </w:trPr>
        <w:tc>
          <w:tcPr>
            <w:tcW w:type="dxa" w:w="2554"/>
            <w:shd w:fill="EAF3F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17365D"/>
                <w:sz w:val="17"/>
              </w:rPr>
              <w:t>Date</w:t>
            </w:r>
          </w:p>
        </w:tc>
        <w:tc>
          <w:tcPr>
            <w:tcW w:type="dxa" w:w="723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16 July 2026</w:t>
            </w:r>
          </w:p>
        </w:tc>
      </w:tr>
      <w:tr>
        <w:trPr>
          <w:cantSplit/>
        </w:trPr>
        <w:tc>
          <w:tcPr>
            <w:tcW w:type="dxa" w:w="2554"/>
            <w:shd w:fill="EAF3F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17365D"/>
                <w:sz w:val="17"/>
              </w:rPr>
              <w:t>Status</w:t>
            </w:r>
          </w:p>
        </w:tc>
        <w:tc>
          <w:tcPr>
            <w:tcW w:type="dxa" w:w="723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r>
              <w:t>Revised draft for DPG readiness review</w:t>
            </w:r>
          </w:p>
        </w:tc>
      </w:tr>
      <w:tr>
        <w:trPr>
          <w:cantSplit/>
        </w:trPr>
        <w:tc>
          <w:tcPr>
            <w:tcW w:type="dxa" w:w="2554"/>
            <w:shd w:fill="EAF3F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17365D"/>
                <w:sz w:val="17"/>
              </w:rPr>
              <w:t>Product scope</w:t>
            </w:r>
          </w:p>
        </w:tc>
        <w:tc>
          <w:tcPr>
            <w:tcW w:type="dxa" w:w="723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Healthcare quality assessment, CQI, performance monitoring, certification, dashboards and reporting</w:t>
            </w:r>
          </w:p>
        </w:tc>
      </w:tr>
      <w:tr>
        <w:trPr>
          <w:cantSplit/>
        </w:trPr>
        <w:tc>
          <w:tcPr>
            <w:tcW w:type="dxa" w:w="2554"/>
            <w:shd w:fill="EAF3F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17365D"/>
                <w:sz w:val="17"/>
              </w:rPr>
              <w:t>Intended audience</w:t>
            </w:r>
          </w:p>
        </w:tc>
        <w:tc>
          <w:tcPr>
            <w:tcW w:type="dxa" w:w="723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DPG reviewers, government programme owners, implementers, funders, public health quality teams and open-source contributors</w:t>
            </w:r>
          </w:p>
        </w:tc>
      </w:tr>
      <w:tr>
        <w:trPr>
          <w:cantSplit/>
        </w:trPr>
        <w:tc>
          <w:tcPr>
            <w:tcW w:type="dxa" w:w="2554"/>
            <w:shd w:fill="EAF3F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17365D"/>
                <w:sz w:val="17"/>
              </w:rPr>
              <w:t>Product boundary</w:t>
            </w:r>
          </w:p>
        </w:tc>
        <w:tc>
          <w:tcPr>
            <w:tcW w:type="dxa" w:w="723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SaQshi core software and reusable configuration model; local deployment operations and unverified implementation statistics are outside the scope of this document</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9792"/>
      </w:tblGrid>
      <w:tr>
        <w:trPr>
          <w:cantSplit/>
        </w:trPr>
        <w:tc>
          <w:tcPr>
            <w:tcW w:type="dxa" w:w="9792"/>
            <w:shd w:fill="FFF2CC"/>
            <w:tcBorders>
              <w:top w:val="single" w:sz="8" w:color="BF9000"/>
              <w:start w:val="single" w:sz="8" w:color="BF9000"/>
              <w:bottom w:val="single" w:sz="4" w:color="BF9000"/>
              <w:end w:val="single" w:sz="4" w:color="BF9000"/>
            </w:tcBorders>
            <w:tcMar>
              <w:top w:w="120" w:type="dxa"/>
              <w:start w:w="150" w:type="dxa"/>
              <w:bottom w:w="120" w:type="dxa"/>
              <w:end w:w="150" w:type="dxa"/>
            </w:tcMar>
          </w:tcPr>
          <w:p>
            <w:pPr>
              <w:spacing w:before="0" w:after="40" w:line="259" w:lineRule="auto"/>
            </w:pPr>
            <w:r>
              <w:rPr>
                <w:rFonts w:ascii="Noto Sans" w:hAnsi="Noto Sans" w:cs="Noto Sans"/>
                <w:b/>
                <w:color w:val="17365D"/>
                <w:sz w:val="19"/>
              </w:rPr>
              <w:t>Important scope note</w:t>
            </w:r>
          </w:p>
          <w:p>
            <w:pPr>
              <w:spacing w:before="0" w:after="0" w:line="259" w:lineRule="auto"/>
            </w:pPr>
            <w:r>
              <w:rPr>
                <w:rFonts w:ascii="Noto Sans" w:hAnsi="Noto Sans" w:cs="Noto Sans"/>
                <w:color w:val="404040"/>
                <w:sz w:val="18"/>
              </w:rPr>
              <w:t>The DPG Standard evaluates the design of the core digital solution. Local implementation arrangements, deployment-specific policies and production statistics should be documented separately and validated before submission.</w:t>
            </w:r>
          </w:p>
        </w:tc>
      </w:tr>
    </w:tbl>
    <w:p>
      <w:pPr>
        <w:spacing w:after="0"/>
      </w:pPr>
    </w:p>
    <w:p>
      <w:pPr>
        <w:pStyle w:val="Heading1"/>
        <w:spacing w:before="160" w:after="100" w:line="259" w:lineRule="auto"/>
      </w:pPr>
      <w:r>
        <w:rPr>
          <w:rFonts w:ascii="Noto Sans" w:hAnsi="Noto Sans" w:cs="Noto Sans"/>
          <w:b/>
          <w:color w:val="17365D"/>
          <w:sz w:val="30"/>
        </w:rPr>
        <w:t>Table of Contents</w:t>
      </w:r>
    </w:p>
    <w:p>
      <w:pPr>
        <w:spacing w:before="0" w:after="40" w:line="259" w:lineRule="auto"/>
      </w:pPr>
      <w:r>
        <w:rPr>
          <w:rFonts w:ascii="Noto Sans" w:hAnsi="Noto Sans" w:cs="Noto Sans"/>
          <w:color w:val="17365D"/>
          <w:sz w:val="20"/>
        </w:rPr>
        <w:t>1. Executive Summary</w:t>
      </w:r>
    </w:p>
    <w:p>
      <w:pPr>
        <w:spacing w:before="0" w:after="40" w:line="259" w:lineRule="auto"/>
      </w:pPr>
      <w:r>
        <w:rPr>
          <w:rFonts w:ascii="Noto Sans" w:hAnsi="Noto Sans" w:cs="Noto Sans"/>
          <w:color w:val="17365D"/>
          <w:sz w:val="20"/>
        </w:rPr>
        <w:t>2. Product Purpose and Public Value</w:t>
      </w:r>
    </w:p>
    <w:p>
      <w:pPr>
        <w:spacing w:before="0" w:after="40" w:line="259" w:lineRule="auto"/>
      </w:pPr>
      <w:r>
        <w:rPr>
          <w:rFonts w:ascii="Noto Sans" w:hAnsi="Noto Sans" w:cs="Noto Sans"/>
          <w:color w:val="17365D"/>
          <w:sz w:val="20"/>
        </w:rPr>
        <w:t>3. Actors and Stakeholders</w:t>
      </w:r>
    </w:p>
    <w:p>
      <w:pPr>
        <w:spacing w:before="0" w:after="40" w:line="259" w:lineRule="auto"/>
      </w:pPr>
      <w:r>
        <w:rPr>
          <w:rFonts w:ascii="Noto Sans" w:hAnsi="Noto Sans" w:cs="Noto Sans"/>
          <w:color w:val="17365D"/>
          <w:sz w:val="20"/>
        </w:rPr>
        <w:t>4. Use Case Catalogue</w:t>
      </w:r>
    </w:p>
    <w:p>
      <w:pPr>
        <w:spacing w:before="0" w:after="40" w:line="259" w:lineRule="auto"/>
      </w:pPr>
      <w:r>
        <w:rPr>
          <w:rFonts w:ascii="Noto Sans" w:hAnsi="Noto Sans" w:cs="Noto Sans"/>
          <w:color w:val="17365D"/>
          <w:sz w:val="20"/>
        </w:rPr>
        <w:t>5. Detailed Use Cases</w:t>
      </w:r>
    </w:p>
    <w:p>
      <w:pPr>
        <w:spacing w:before="0" w:after="40" w:line="259" w:lineRule="auto"/>
      </w:pPr>
      <w:r>
        <w:rPr>
          <w:rFonts w:ascii="Noto Sans" w:hAnsi="Noto Sans" w:cs="Noto Sans"/>
          <w:color w:val="17365D"/>
          <w:sz w:val="20"/>
        </w:rPr>
        <w:t>6. DPG Standard Traceability</w:t>
      </w:r>
    </w:p>
    <w:p>
      <w:pPr>
        <w:spacing w:before="0" w:after="40" w:line="259" w:lineRule="auto"/>
      </w:pPr>
      <w:r>
        <w:rPr>
          <w:rFonts w:ascii="Noto Sans" w:hAnsi="Noto Sans" w:cs="Noto Sans"/>
          <w:color w:val="17365D"/>
          <w:sz w:val="20"/>
        </w:rPr>
        <w:t>7. DPG Evidence and Documentation Checklist</w:t>
      </w:r>
    </w:p>
    <w:p>
      <w:pPr>
        <w:spacing w:before="0" w:after="40" w:line="259" w:lineRule="auto"/>
      </w:pPr>
      <w:r>
        <w:rPr>
          <w:rFonts w:ascii="Noto Sans" w:hAnsi="Noto Sans" w:cs="Noto Sans"/>
          <w:color w:val="17365D"/>
          <w:sz w:val="20"/>
        </w:rPr>
        <w:t>8. Success Measures</w:t>
      </w:r>
    </w:p>
    <w:p>
      <w:pPr>
        <w:spacing w:before="0" w:after="40" w:line="259" w:lineRule="auto"/>
      </w:pPr>
      <w:r>
        <w:rPr>
          <w:rFonts w:ascii="Noto Sans" w:hAnsi="Noto Sans" w:cs="Noto Sans"/>
          <w:color w:val="17365D"/>
          <w:sz w:val="20"/>
        </w:rPr>
        <w:t>Appendix A. Glossary</w:t>
      </w:r>
    </w:p>
    <w:p>
      <w:pPr>
        <w:spacing w:before="0" w:after="40" w:line="259" w:lineRule="auto"/>
      </w:pPr>
      <w:r>
        <w:rPr>
          <w:rFonts w:ascii="Noto Sans" w:hAnsi="Noto Sans" w:cs="Noto Sans"/>
          <w:color w:val="17365D"/>
          <w:sz w:val="20"/>
        </w:rPr>
        <w:t>Appendix B. References</w:t>
      </w:r>
    </w:p>
    <w:p>
      <w:r>
        <w:br w:type="page"/>
      </w:r>
    </w:p>
    <w:p>
      <w:pPr>
        <w:pStyle w:val="Heading1"/>
        <w:spacing w:before="160" w:after="100" w:line="259" w:lineRule="auto"/>
      </w:pPr>
      <w:r>
        <w:rPr>
          <w:rFonts w:ascii="Noto Sans" w:hAnsi="Noto Sans" w:cs="Noto Sans"/>
          <w:b/>
          <w:color w:val="17365D"/>
          <w:sz w:val="30"/>
        </w:rPr>
        <w:t>1. Executive Summary</w:t>
      </w:r>
    </w:p>
    <w:p>
      <w:pPr>
        <w:spacing w:before="0" w:after="120" w:line="259" w:lineRule="auto"/>
      </w:pPr>
      <w:r>
        <w:rPr>
          <w:rFonts w:ascii="Noto Sans" w:hAnsi="Noto Sans" w:cs="Noto Sans"/>
          <w:sz w:val="20"/>
        </w:rPr>
        <w:t>SaQshi is an open, configurable digital platform designed to help public health systems assess and improve the quality of healthcare services. It digitises the full quality-improvement cycle: framework configuration, facility and department setup, structured assessment, scoring, gap identification, action planning, gap closure, monthly performance monitoring, certification tracking, dashboards and reporting.</w:t>
      </w:r>
    </w:p>
    <w:p>
      <w:pPr>
        <w:spacing w:before="0" w:after="120" w:line="259" w:lineRule="auto"/>
      </w:pPr>
      <w:r>
        <w:rPr>
          <w:rFonts w:ascii="Noto Sans" w:hAnsi="Noto Sans" w:cs="Noto Sans"/>
          <w:sz w:val="20"/>
        </w:rPr>
        <w:t>The platform is intended to support established healthcare quality frameworks such as NQAS, MusQan and LaQshya while allowing additional national, state or country-specific frameworks to be introduced through configuration rather than hard-coded programme logic. This design makes SaQshi relevant for reuse across facility types, administrative hierarchies and jurisdictions.</w:t>
      </w:r>
    </w:p>
    <w:p>
      <w:pPr>
        <w:spacing w:before="0" w:after="120" w:line="259" w:lineRule="auto"/>
      </w:pPr>
      <w:r>
        <w:rPr>
          <w:rFonts w:ascii="Noto Sans" w:hAnsi="Noto Sans" w:cs="Noto Sans"/>
          <w:sz w:val="20"/>
        </w:rPr>
        <w:t>This document defines the product-level use cases required for DPG documentation. It also maps those use cases to the current DPG Standard and identifies supporting evidence that must exist in the public repository or product documentation. It deliberately avoids claiming that SaQshi is already a recognised DPG.</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9792"/>
      </w:tblGrid>
      <w:tr>
        <w:trPr>
          <w:cantSplit/>
        </w:trPr>
        <w:tc>
          <w:tcPr>
            <w:tcW w:type="dxa" w:w="9792"/>
            <w:shd w:fill="E2F0D9"/>
            <w:tcBorders>
              <w:top w:val="single" w:sz="8" w:color="3B7A57"/>
              <w:start w:val="single" w:sz="8" w:color="3B7A57"/>
              <w:bottom w:val="single" w:sz="4" w:color="3B7A57"/>
              <w:end w:val="single" w:sz="4" w:color="3B7A57"/>
            </w:tcBorders>
            <w:tcMar>
              <w:top w:w="120" w:type="dxa"/>
              <w:start w:w="150" w:type="dxa"/>
              <w:bottom w:w="120" w:type="dxa"/>
              <w:end w:w="150" w:type="dxa"/>
            </w:tcMar>
          </w:tcPr>
          <w:p>
            <w:pPr>
              <w:spacing w:before="0" w:after="40" w:line="259" w:lineRule="auto"/>
            </w:pPr>
            <w:r>
              <w:rPr>
                <w:rFonts w:ascii="Noto Sans" w:hAnsi="Noto Sans" w:cs="Noto Sans"/>
                <w:b/>
                <w:color w:val="17365D"/>
                <w:sz w:val="19"/>
              </w:rPr>
              <w:t>Primary public benefit</w:t>
            </w:r>
          </w:p>
          <w:p>
            <w:pPr>
              <w:spacing w:before="0" w:after="0" w:line="259" w:lineRule="auto"/>
            </w:pPr>
            <w:r>
              <w:rPr>
                <w:rFonts w:ascii="Noto Sans" w:hAnsi="Noto Sans" w:cs="Noto Sans"/>
                <w:color w:val="404040"/>
                <w:sz w:val="18"/>
              </w:rPr>
              <w:t>SaQshi helps governments and healthcare facilities replace fragmented spreadsheets and manual follow-up with a transparent, repeatable and auditable quality-governance workflow that supports better service delivery and continuous improvement.</w:t>
            </w:r>
          </w:p>
        </w:tc>
      </w:tr>
    </w:tbl>
    <w:p>
      <w:pPr>
        <w:spacing w:after="0"/>
      </w:pPr>
    </w:p>
    <w:p>
      <w:pPr>
        <w:pStyle w:val="Heading1"/>
        <w:spacing w:before="160" w:after="100" w:line="259" w:lineRule="auto"/>
      </w:pPr>
      <w:r>
        <w:rPr>
          <w:rFonts w:ascii="Noto Sans" w:hAnsi="Noto Sans" w:cs="Noto Sans"/>
          <w:b/>
          <w:color w:val="17365D"/>
          <w:sz w:val="30"/>
        </w:rPr>
        <w:t>2. Product Purpose and Public Value</w:t>
      </w:r>
    </w:p>
    <w:p>
      <w:pPr>
        <w:pStyle w:val="Heading2"/>
        <w:spacing w:before="100" w:after="100" w:line="259" w:lineRule="auto"/>
      </w:pPr>
      <w:r>
        <w:rPr>
          <w:rFonts w:ascii="Noto Sans" w:hAnsi="Noto Sans" w:cs="Noto Sans"/>
          <w:b/>
          <w:color w:val="0F6B78"/>
          <w:sz w:val="24"/>
        </w:rPr>
        <w:t>2.1 Problem Statement</w:t>
      </w:r>
    </w:p>
    <w:p>
      <w:pPr>
        <w:pStyle w:val="ListBullet"/>
        <w:spacing w:before="0" w:after="40" w:line="259" w:lineRule="auto"/>
      </w:pPr>
      <w:r>
        <w:rPr>
          <w:rFonts w:ascii="Noto Sans" w:hAnsi="Noto Sans" w:cs="Noto Sans"/>
          <w:sz w:val="19"/>
        </w:rPr>
        <w:t>Healthcare quality assessments are often managed through paper checklists, disconnected spreadsheets and programme-specific reporting processes.</w:t>
      </w:r>
    </w:p>
    <w:p>
      <w:pPr>
        <w:pStyle w:val="ListBullet"/>
        <w:spacing w:before="0" w:after="40" w:line="259" w:lineRule="auto"/>
      </w:pPr>
      <w:r>
        <w:rPr>
          <w:rFonts w:ascii="Noto Sans" w:hAnsi="Noto Sans" w:cs="Noto Sans"/>
          <w:sz w:val="19"/>
        </w:rPr>
        <w:t>Assessment findings may not consistently result in assigned responsibilities, target dates, evidence-based closure or measurement of improved scores.</w:t>
      </w:r>
    </w:p>
    <w:p>
      <w:pPr>
        <w:pStyle w:val="ListBullet"/>
        <w:spacing w:before="0" w:after="40" w:line="259" w:lineRule="auto"/>
      </w:pPr>
      <w:r>
        <w:rPr>
          <w:rFonts w:ascii="Noto Sans" w:hAnsi="Noto Sans" w:cs="Noto Sans"/>
          <w:sz w:val="19"/>
        </w:rPr>
        <w:t>State, district and facility teams may lack a single view of assessment progress, unresolved gaps, overdue action plans, performance indicators and certification validity.</w:t>
      </w:r>
    </w:p>
    <w:p>
      <w:pPr>
        <w:pStyle w:val="ListBullet"/>
        <w:spacing w:before="0" w:after="40" w:line="259" w:lineRule="auto"/>
      </w:pPr>
      <w:r>
        <w:rPr>
          <w:rFonts w:ascii="Noto Sans" w:hAnsi="Noto Sans" w:cs="Noto Sans"/>
          <w:sz w:val="19"/>
        </w:rPr>
        <w:t>Framework-specific software can create duplication, vendor lock-in and high adaptation costs when another programme, facility type, state or country needs similar capabilities.</w:t>
      </w:r>
    </w:p>
    <w:p>
      <w:pPr>
        <w:pStyle w:val="Heading2"/>
        <w:spacing w:before="100" w:after="100" w:line="259" w:lineRule="auto"/>
      </w:pPr>
      <w:r>
        <w:rPr>
          <w:rFonts w:ascii="Noto Sans" w:hAnsi="Noto Sans" w:cs="Noto Sans"/>
          <w:b/>
          <w:color w:val="0F6B78"/>
          <w:sz w:val="24"/>
        </w:rPr>
        <w:t>2.2 SaQshi Response</w:t>
      </w:r>
    </w:p>
    <w:p>
      <w:pPr>
        <w:pStyle w:val="ListBullet"/>
        <w:spacing w:before="0" w:after="40" w:line="259" w:lineRule="auto"/>
      </w:pPr>
      <w:r>
        <w:rPr>
          <w:rFonts w:ascii="Noto Sans" w:hAnsi="Noto Sans" w:cs="Noto Sans"/>
          <w:sz w:val="19"/>
        </w:rPr>
        <w:t>Provides a structured assessment engine for facility, department, concern, standard, measurable element and checkpoint hierarchies.</w:t>
      </w:r>
    </w:p>
    <w:p>
      <w:pPr>
        <w:pStyle w:val="ListBullet"/>
        <w:spacing w:before="0" w:after="40" w:line="259" w:lineRule="auto"/>
      </w:pPr>
      <w:r>
        <w:rPr>
          <w:rFonts w:ascii="Noto Sans" w:hAnsi="Noto Sans" w:cs="Noto Sans"/>
          <w:sz w:val="19"/>
        </w:rPr>
        <w:t>Connects assessment findings to gap analysis, action planning, ownership, target dates, closure evidence and revised scores.</w:t>
      </w:r>
    </w:p>
    <w:p>
      <w:pPr>
        <w:pStyle w:val="ListBullet"/>
        <w:spacing w:before="0" w:after="40" w:line="259" w:lineRule="auto"/>
      </w:pPr>
      <w:r>
        <w:rPr>
          <w:rFonts w:ascii="Noto Sans" w:hAnsi="Noto Sans" w:cs="Noto Sans"/>
          <w:sz w:val="19"/>
        </w:rPr>
        <w:t>Supports monthly performance monitoring through configurable KPI and outcome indicators, formulas and validation rules.</w:t>
      </w:r>
    </w:p>
    <w:p>
      <w:pPr>
        <w:pStyle w:val="ListBullet"/>
        <w:spacing w:before="0" w:after="40" w:line="259" w:lineRule="auto"/>
      </w:pPr>
      <w:r>
        <w:rPr>
          <w:rFonts w:ascii="Noto Sans" w:hAnsi="Noto Sans" w:cs="Noto Sans"/>
          <w:sz w:val="19"/>
        </w:rPr>
        <w:t>Tracks certification status, validity, renewal and history.</w:t>
      </w:r>
    </w:p>
    <w:p>
      <w:pPr>
        <w:pStyle w:val="ListBullet"/>
        <w:spacing w:before="0" w:after="40" w:line="259" w:lineRule="auto"/>
      </w:pPr>
      <w:r>
        <w:rPr>
          <w:rFonts w:ascii="Noto Sans" w:hAnsi="Noto Sans" w:cs="Noto Sans"/>
          <w:sz w:val="19"/>
        </w:rPr>
        <w:t>Provides role- and scope-based dashboards for facility, block, district, division, state and programme-level monitoring.</w:t>
      </w:r>
    </w:p>
    <w:p>
      <w:pPr>
        <w:pStyle w:val="ListBullet"/>
        <w:spacing w:before="0" w:after="40" w:line="259" w:lineRule="auto"/>
      </w:pPr>
      <w:r>
        <w:rPr>
          <w:rFonts w:ascii="Noto Sans" w:hAnsi="Noto Sans" w:cs="Noto Sans"/>
          <w:sz w:val="19"/>
        </w:rPr>
        <w:t>Uses versioned APIs and configuration-driven framework definitions to enable reuse, integration and local adaptation.</w:t>
      </w:r>
    </w:p>
    <w:p>
      <w:pPr>
        <w:pStyle w:val="Heading2"/>
        <w:spacing w:before="100" w:after="100" w:line="259" w:lineRule="auto"/>
      </w:pPr>
      <w:r>
        <w:rPr>
          <w:rFonts w:ascii="Noto Sans" w:hAnsi="Noto Sans" w:cs="Noto Sans"/>
          <w:b/>
          <w:color w:val="0F6B78"/>
          <w:sz w:val="24"/>
        </w:rPr>
        <w:t>2.3 Sustainable Development Goal Relevance</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3264"/>
        <w:gridCol w:w="3264"/>
        <w:gridCol w:w="3264"/>
      </w:tblGrid>
      <w:tr>
        <w:trPr>
          <w:tblHeader w:val="true"/>
          <w:cantSplit/>
        </w:trPr>
        <w:tc>
          <w:tcPr>
            <w:tcW w:type="dxa" w:w="3264"/>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8"/>
              </w:rPr>
              <w:t>SDG</w:t>
            </w:r>
          </w:p>
        </w:tc>
        <w:tc>
          <w:tcPr>
            <w:tcW w:type="dxa" w:w="3264"/>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8"/>
              </w:rPr>
              <w:t>Relevance</w:t>
            </w:r>
          </w:p>
        </w:tc>
        <w:tc>
          <w:tcPr>
            <w:tcW w:type="dxa" w:w="3264"/>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8"/>
              </w:rPr>
              <w:t>SaQshi contribution</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SDG 3 - Good Health and Well-being</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Primary</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Improves the governance and monitoring of healthcare service quality, safety, maternal and child health quality programmes, and facility-level corrective action.</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SDG 9 - Industry, Innovation and Infrastructure</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Enabling</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Provides reusable digital infrastructure, open APIs and a configuration-driven platform for public health quality systems.</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SDG 16 - Peace, Justice and Strong Institutions</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Enabling</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Strengthens accountability, traceability, role-based responsibility, auditability and evidence-based public administration.</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SDG 17 - Partnerships for the Goals</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Enabling</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Allows governments, implementers, development partners and open-source communities to reuse and improve a shared platform.</w:t>
            </w:r>
          </w:p>
        </w:tc>
      </w:tr>
    </w:tbl>
    <w:p>
      <w:pPr>
        <w:pStyle w:val="Heading2"/>
        <w:spacing w:before="100" w:after="100" w:line="259" w:lineRule="auto"/>
      </w:pPr>
      <w:r>
        <w:rPr>
          <w:rFonts w:ascii="Noto Sans" w:hAnsi="Noto Sans" w:cs="Noto Sans"/>
          <w:b/>
          <w:color w:val="0F6B78"/>
          <w:sz w:val="24"/>
        </w:rPr>
        <w:t>2.4 DPG Standard Context</w:t>
      </w:r>
    </w:p>
    <w:p>
      <w:pPr>
        <w:spacing w:before="0" w:after="100" w:line="259" w:lineRule="auto"/>
      </w:pPr>
      <w:r>
        <w:rPr>
          <w:rFonts w:ascii="Noto Sans" w:hAnsi="Noto Sans" w:cs="Noto Sans"/>
          <w:sz w:val="19"/>
        </w:rPr>
        <w:t>The current DPG Standard evaluates solutions against nine indicator areas: SDG relevance, open licensing, clear ownership, platform independence, documentation, non-PII data extraction, privacy and applicable laws, open standards and best practices, and do-no-harm requirements covering data privacy, security and inappropriate or illegal content. SaQshi must provide verifiable public evidence for each applicable requirement; use cases alone are not sufficient.</w:t>
      </w:r>
    </w:p>
    <w:p>
      <w:pPr>
        <w:pStyle w:val="Heading1"/>
        <w:spacing w:before="160" w:after="100" w:line="259" w:lineRule="auto"/>
      </w:pPr>
      <w:r>
        <w:rPr>
          <w:rFonts w:ascii="Noto Sans" w:hAnsi="Noto Sans" w:cs="Noto Sans"/>
          <w:b/>
          <w:color w:val="17365D"/>
          <w:sz w:val="30"/>
        </w:rPr>
        <w:t>3. Actors and Stakeholders</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3264"/>
        <w:gridCol w:w="3264"/>
        <w:gridCol w:w="3264"/>
      </w:tblGrid>
      <w:tr>
        <w:trPr>
          <w:tblHeader w:val="true"/>
          <w:cantSplit/>
        </w:trPr>
        <w:tc>
          <w:tcPr>
            <w:tcW w:type="dxa" w:w="3264"/>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8"/>
              </w:rPr>
              <w:t>Actor ID</w:t>
            </w:r>
          </w:p>
        </w:tc>
        <w:tc>
          <w:tcPr>
            <w:tcW w:type="dxa" w:w="3264"/>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8"/>
              </w:rPr>
              <w:t>Actor</w:t>
            </w:r>
          </w:p>
        </w:tc>
        <w:tc>
          <w:tcPr>
            <w:tcW w:type="dxa" w:w="3264"/>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8"/>
              </w:rPr>
              <w:t>Responsibility</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ACT-01</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Programme Owner / National or State Health Authority</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Owns programme policy, approves frameworks, reviews performance and governs adoption.</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ACT-02</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State Administrator / State Quality Cell</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Configures the implementation, manages users and facilities, monitors state-wide quality and certification.</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ACT-03</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Division, District or Block Monitor</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Reviews facilities within assigned scope, follows progress and supports corrective action.</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ACT-04</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Facility Administrator</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Manages the assigned facility, departments, users, assessments and local reporting.</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ACT-05</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Assessor / Assessee</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Conducts self, internal, peer or external assessments and records checkpoint-level evidence.</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ACT-06</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Department Quality Team</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Reviews findings, maintains supporting evidence and participates in quality improvement.</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ACT-07</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Action Plan Owner</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Implements corrective actions, updates progress and submits closure evidence.</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ACT-08</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Certification Reviewer / Authority</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Records and verifies certification decisions, validity and renewal status.</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ACT-09</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Data Analyst / Viewer</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Uses dashboards, trends and exports without administrative rights.</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ACT-10</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System Administrator / Implementer</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Deploys, configures, secures, integrates and maintains the platform.</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ACT-11</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External System / Authorised API Consumer</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Reads or exchanges approved data through documented APIs.</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ACT-12</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Public Verification User</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Checks non-sensitive certification status where public verification is enabled.</w:t>
            </w:r>
          </w:p>
        </w:tc>
      </w:tr>
    </w:tbl>
    <w:p>
      <w:pPr>
        <w:pStyle w:val="Heading2"/>
        <w:spacing w:before="100" w:after="100" w:line="259" w:lineRule="auto"/>
      </w:pPr>
      <w:r>
        <w:rPr>
          <w:rFonts w:ascii="Noto Sans" w:hAnsi="Noto Sans" w:cs="Noto Sans"/>
          <w:b/>
          <w:color w:val="0F6B78"/>
          <w:sz w:val="24"/>
        </w:rPr>
        <w:t>3.1 Actor-to-Module Interaction</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4896"/>
        <w:gridCol w:w="4896"/>
      </w:tblGrid>
      <w:tr>
        <w:trPr>
          <w:cantSplit/>
        </w:trPr>
        <w:tc>
          <w:tcPr>
            <w:tcW w:type="dxa" w:w="4896"/>
            <w:shd w:fill="0F6B7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8"/>
              </w:rPr>
              <w:t>Actor group</w:t>
            </w:r>
          </w:p>
        </w:tc>
        <w:tc>
          <w:tcPr>
            <w:tcW w:type="dxa" w:w="4896"/>
            <w:shd w:fill="0F6B7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8"/>
              </w:rPr>
              <w:t>Primary SaQshi interactions</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Programme / State</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Frameworks, master data, facilities, users, dashboards, certification, reports</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District / Division</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Monitoring, drill-down, CQI follow-up, performance completion, reporting</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Facility / Department</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Assessment, evidence, gaps, action plans, gap closure, KPI and outcome entry</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Assessor / Reviewer</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Assessment, verification, scoring, findings and certification review</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Implementer / API Consumer</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Deployment, configuration, integration, export and security operations</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Public user</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Restricted, non-PII certification verification only where enabled</w:t>
            </w:r>
          </w:p>
        </w:tc>
      </w:tr>
    </w:tbl>
    <w:p>
      <w:pPr>
        <w:pStyle w:val="Heading1"/>
        <w:spacing w:before="160" w:after="100" w:line="259" w:lineRule="auto"/>
      </w:pPr>
      <w:r>
        <w:rPr>
          <w:rFonts w:ascii="Noto Sans" w:hAnsi="Noto Sans" w:cs="Noto Sans"/>
          <w:b/>
          <w:color w:val="17365D"/>
          <w:sz w:val="30"/>
        </w:rPr>
        <w:t>4. Use Case Catalogue</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959"/>
        <w:gridCol w:w="1959"/>
        <w:gridCol w:w="1958"/>
        <w:gridCol w:w="1958"/>
        <w:gridCol w:w="1958"/>
      </w:tblGrid>
      <w:tr>
        <w:trPr>
          <w:tblHeader w:val="true"/>
          <w:cantSplit/>
        </w:trPr>
        <w:tc>
          <w:tcPr>
            <w:tcW w:type="dxa" w:w="1959"/>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6"/>
              </w:rPr>
              <w:t>ID</w:t>
            </w:r>
          </w:p>
        </w:tc>
        <w:tc>
          <w:tcPr>
            <w:tcW w:type="dxa" w:w="1959"/>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6"/>
              </w:rPr>
              <w:t>Use case</w:t>
            </w:r>
          </w:p>
        </w:tc>
        <w:tc>
          <w:tcPr>
            <w:tcW w:type="dxa" w:w="1958"/>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6"/>
              </w:rPr>
              <w:t>Primary actor</w:t>
            </w:r>
          </w:p>
        </w:tc>
        <w:tc>
          <w:tcPr>
            <w:tcW w:type="dxa" w:w="1958"/>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6"/>
              </w:rPr>
              <w:t>Module</w:t>
            </w:r>
          </w:p>
        </w:tc>
        <w:tc>
          <w:tcPr>
            <w:tcW w:type="dxa" w:w="1958"/>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6"/>
              </w:rPr>
              <w:t>DPG / public value</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UC-01</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Configure Quality Framework and Master Data</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Programme owner / State administrator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Framework engine</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Adaptability, transparent rules, reusable public infrastructure</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UC-02</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Manage Facility Registry and Administrative Hierarchy</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State / Facility administrator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Facility registry</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Consistent facility identity and scoped governance</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UC-03</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Manage Users, Roles and Organisational Scope</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State / System administrator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Authentication and RBAC</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Accountability, least privilege and safe delegation</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UC-04</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Create Assessment Period and Activate Departments</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Facility administrator / Assessor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Assessment setup</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Repeatable, period-specific quality assessment</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UC-05</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Conduct Checkpoint-Level Quality Assessment</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Assessor / Department team</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Assessment</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Structured evidence and standardised compliance recording</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UC-06</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Calculate Scores and Complete Assessment</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Assessor / Facility administrator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Scoring and completion</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Transparent and reproducible quality results</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UC-07</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Generate and Review Gap Analysis</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Facility / Department quality team</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CQI - Gap analysis</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Transforms findings into an improvement agenda</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UC-08</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Create, Assign and Track Action Plans</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Quality team / Action owner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CQI - Action plan</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Clear responsibility, target dates and follow-through</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UC-09</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Close Gaps and Measure Improvement</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Action owner / Reviewer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CQI - Closure</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Evidence-based closure and preserved improvement history</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UC-10</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Monitor Monthly KPIs and Outcomes</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Facility user / Programme monitor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Performance Monitoring</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Continuous performance visibility beyond periodic assessment</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UC-11</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Track Certification Lifecycle</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Certification authority / State administrator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Certification</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Validity, renewal and portfolio-level certification oversight</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UC-12</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Monitor Quality Through Dashboards and Drill-Down</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State / District / Facility viewer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Monitoring dashboards</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Timely governance, prioritisation and accountability</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UC-13</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Generate Reports and Export Non-PII Data</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Analyst / Administrator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Reporting and export</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Data portability, evidence, research and programme review</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UC-14</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Conduct External or Peer Assessment</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Authorised external assessor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Assessment and verification</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Independent validation and comparability</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UC-15</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Adapt and Deploy SaQshi in Another Jurisdiction</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Government implementer / Open-source partner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Configuration and deployment</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Reuse, local ownership and reduced vendor lock-in</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UC-16</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Integrate Through Open APIs</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System implementer / API consumer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API and interoperability</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Ecosystem integration and reduced duplication</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UC-17</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Protect Data, Manage Sessions and Maintain Auditability</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System administrator / Security officer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Security, privacy and audit</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Do-no-harm, trust and compliance</w:t>
            </w:r>
          </w:p>
        </w:tc>
      </w:tr>
      <w:tr>
        <w:trPr>
          <w:cantSplit/>
        </w:trPr>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5"/>
              </w:rPr>
              <w:t>UC-18</w:t>
            </w:r>
          </w:p>
        </w:tc>
        <w:tc>
          <w:tcPr>
            <w:tcW w:type="dxa" w:w="1959"/>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Verify Facility Certification Status</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Public or authorised verification user</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Public verification</w:t>
            </w:r>
          </w:p>
        </w:tc>
        <w:tc>
          <w:tcPr>
            <w:tcW w:type="dxa" w:w="195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5"/>
              </w:rPr>
              <w:t>Transparent, non-sensitive certification information</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9792"/>
      </w:tblGrid>
      <w:tr>
        <w:trPr>
          <w:cantSplit/>
        </w:trPr>
        <w:tc>
          <w:tcPr>
            <w:tcW w:type="dxa" w:w="9792"/>
            <w:shd w:fill="DDEBF7"/>
            <w:tcBorders>
              <w:top w:val="single" w:sz="8" w:color="1F4E78"/>
              <w:start w:val="single" w:sz="8" w:color="1F4E78"/>
              <w:bottom w:val="single" w:sz="4" w:color="1F4E78"/>
              <w:end w:val="single" w:sz="4" w:color="1F4E78"/>
            </w:tcBorders>
            <w:tcMar>
              <w:top w:w="120" w:type="dxa"/>
              <w:start w:w="150" w:type="dxa"/>
              <w:bottom w:w="120" w:type="dxa"/>
              <w:end w:w="150" w:type="dxa"/>
            </w:tcMar>
          </w:tcPr>
          <w:p>
            <w:pPr>
              <w:spacing w:before="0" w:after="40" w:line="259" w:lineRule="auto"/>
            </w:pPr>
            <w:r>
              <w:rPr>
                <w:rFonts w:ascii="Noto Sans" w:hAnsi="Noto Sans" w:cs="Noto Sans"/>
                <w:b/>
                <w:color w:val="17365D"/>
                <w:sz w:val="19"/>
              </w:rPr>
              <w:t>Maturity labels</w:t>
            </w:r>
          </w:p>
          <w:p>
            <w:pPr>
              <w:spacing w:before="0" w:after="0" w:line="259" w:lineRule="auto"/>
            </w:pPr>
            <w:r>
              <w:rPr>
                <w:rFonts w:ascii="Noto Sans" w:hAnsi="Noto Sans" w:cs="Noto Sans"/>
                <w:color w:val="404040"/>
                <w:sz w:val="18"/>
              </w:rPr>
              <w:t>“Core” indicates a confirmed SaQshi workflow. “Core / evolving” indicates an operational capability that is being generalised in the open-source design. “DPG readiness” indicates product or repository evidence that should be completed and published before nomination.</w:t>
            </w:r>
          </w:p>
        </w:tc>
      </w:tr>
    </w:tbl>
    <w:p>
      <w:pPr>
        <w:spacing w:after="0"/>
      </w:pPr>
    </w:p>
    <w:p>
      <w:r>
        <w:br w:type="page"/>
      </w:r>
    </w:p>
    <w:p>
      <w:pPr>
        <w:pStyle w:val="Heading1"/>
        <w:spacing w:before="160" w:after="100" w:line="259" w:lineRule="auto"/>
      </w:pPr>
      <w:r>
        <w:rPr>
          <w:rFonts w:ascii="Noto Sans" w:hAnsi="Noto Sans" w:cs="Noto Sans"/>
          <w:b/>
          <w:color w:val="17365D"/>
          <w:sz w:val="30"/>
        </w:rPr>
        <w:t>5. Detailed Use Cases</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UC-01</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Configure Quality Framework and Master Data</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Allow an authorised programme owner to define or update a healthcare quality framework without rewriting the core application.</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Programme Owner, State Administrator, Framework Administrator, System Implementer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The user has framework-administration permission; a framework schema and versioning policy are available.</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new programme, facility type, department, checkpoint set, scoring rule or framework revision must be introduced.</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Create a new framework package or a new version of an existing framework.</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Define facility types, departments, areas of concern, standards/subtypes, measurable elements, checkpoints, compliance options and assessment methods.</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Define scoring logic, validation rules, mandatory fields and any performance indicators linked to the framework.</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Run structural and referential validation to identify missing mappings, duplicate identifiers or invalid formulas.</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Preview the framework as it will appear to facility and assessor users.</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Publish the approved version and make it available for new assessment periods.</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Preserve existing assessments against the framework version originally used.</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validation fails, publication is blocked and the administrator receives actionable validation errors.</w:t>
      </w:r>
    </w:p>
    <w:p>
      <w:pPr>
        <w:pStyle w:val="ListBullet"/>
        <w:spacing w:before="0" w:after="40" w:line="259" w:lineRule="auto"/>
      </w:pPr>
      <w:r>
        <w:rPr>
          <w:rFonts w:ascii="Noto Sans" w:hAnsi="Noto Sans" w:cs="Noto Sans"/>
          <w:sz w:val="19"/>
        </w:rPr>
        <w:t>If a framework version is already used by completed assessments, changes are released as a new version rather than overwriting historical logic.</w:t>
      </w:r>
    </w:p>
    <w:p>
      <w:pPr>
        <w:pStyle w:val="ListBullet"/>
        <w:spacing w:before="0" w:after="40" w:line="259" w:lineRule="auto"/>
      </w:pPr>
      <w:r>
        <w:rPr>
          <w:rFonts w:ascii="Noto Sans" w:hAnsi="Noto Sans" w:cs="Noto Sans"/>
          <w:sz w:val="19"/>
        </w:rPr>
        <w:t>If a jurisdiction needs custom terminology or language, labels are localised while stable identifiers remain unchanged.</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validated, versioned and publishable framework configuration with an audit record of changes.</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Framework configuration should not contain personal data. Administrative changes must be authorised and logged.</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Enables reuse across programmes and countries, makes rules inspectable, reduces hard-coded vendor dependence and supports platform independence.</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Configuration-driven framework support is a central open-source and DPG design objective. Public schema, examples, validation rules and versioning documentation should be included in the repository.</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UC-02</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Manage Facility Registry and Administrative Hierarchy</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Maintain a consistent registry of facilities and their administrative placement for scoped assessment, monitoring and reporting.</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State Administrator, Facility Administrator, System Implementer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Administrative hierarchy masters exist and the user has permission for the relevant state or programme scope.</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facility is onboarded, updated, transferred, activated, deactivated or imported from an authoritative source.</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Create or import state, division, district, block and facility records as applicable to the jurisdiction.</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Assign a stable facility identifier, facility name, type, administrative location and active status.</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Validate uniqueness and prevent conflicting facility identifiers.</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Associate the facility with applicable quality frameworks and department options.</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Assign facility administrators and permitted users.</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Expose the facility to assessments, dashboards and reports according to role scope.</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Export or synchronise approved facility master data when required.</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a duplicate stable identifier is detected, the record is rejected or routed for merge/reconciliation.</w:t>
      </w:r>
    </w:p>
    <w:p>
      <w:pPr>
        <w:pStyle w:val="ListBullet"/>
        <w:spacing w:before="0" w:after="40" w:line="259" w:lineRule="auto"/>
      </w:pPr>
      <w:r>
        <w:rPr>
          <w:rFonts w:ascii="Noto Sans" w:hAnsi="Noto Sans" w:cs="Noto Sans"/>
          <w:sz w:val="19"/>
        </w:rPr>
        <w:t>If a facility is deactivated, historical assessments and reports remain available but new transactions are prevented.</w:t>
      </w:r>
    </w:p>
    <w:p>
      <w:pPr>
        <w:pStyle w:val="ListBullet"/>
        <w:spacing w:before="0" w:after="40" w:line="259" w:lineRule="auto"/>
      </w:pPr>
      <w:r>
        <w:rPr>
          <w:rFonts w:ascii="Noto Sans" w:hAnsi="Noto Sans" w:cs="Noto Sans"/>
          <w:sz w:val="19"/>
        </w:rPr>
        <w:t>If external registry data conflicts with local data, the integration process records the conflict and requires authorised resolution.</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validated facility hierarchy used consistently across assessment, CQI, performance, certification and reporting.</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Collect only organisational and location data required for programme operations. Personal contact data should be optional, access-controlled and excluded from public exports.</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Provides a reusable facility-governance pattern and supports interoperability with authoritative health facility registries.</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Facility assignment to users and hierarchical monitoring are confirmed product concepts. Public data dictionary and import/export specifications are required for DPG evidence.</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UC-03</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Manage Users, Roles and Organisational Scope</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Give users only the permissions and geographic or organisational scope needed to perform their responsibilities.</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State Administrator, Facility Administrator, System Administrator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Roles, permissions and scope levels are defined; an authorised administrator is authenticated.</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user joins, changes role, changes facility/scope, requires password reset or leaves the programme.</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Create the user account with the minimum required identity and contact fields.</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Assign one or more roles based on job function, such as administrator, assessor, action owner, analyst or viewer.</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Assign the permitted state, district, block, facility or department scope.</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Activate the account and require secure authentication.</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Enforce permission and scope checks on screens, APIs and data queries.</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Allow authorised reset, role change, activation and deactivation actions.</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Record administrative changes and authentication events in audit logs.</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a user attempts to access a facility or action outside the assigned scope, access is denied and logged.</w:t>
      </w:r>
    </w:p>
    <w:p>
      <w:pPr>
        <w:pStyle w:val="ListBullet"/>
        <w:spacing w:before="0" w:after="40" w:line="259" w:lineRule="auto"/>
      </w:pPr>
      <w:r>
        <w:rPr>
          <w:rFonts w:ascii="Noto Sans" w:hAnsi="Noto Sans" w:cs="Noto Sans"/>
          <w:sz w:val="19"/>
        </w:rPr>
        <w:t>If repeated failed logins exceed the configured threshold, the account or source is temporarily locked according to policy.</w:t>
      </w:r>
    </w:p>
    <w:p>
      <w:pPr>
        <w:pStyle w:val="ListBullet"/>
        <w:spacing w:before="0" w:after="40" w:line="259" w:lineRule="auto"/>
      </w:pPr>
      <w:r>
        <w:rPr>
          <w:rFonts w:ascii="Noto Sans" w:hAnsi="Noto Sans" w:cs="Noto Sans"/>
          <w:sz w:val="19"/>
        </w:rPr>
        <w:t>If a user is deactivated, active sessions are invalidated where supported.</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controlled user account with documented role, scope, status and audit history.</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Apply data minimisation, secure password handling, session protection, least privilege and controlled access to user information.</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Strengthens accountability and safe delegation in public institutions while allowing each adopter to define local roles.</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RBAC, facility assignment, session controls, CSRF protection and login-attempt controls are confirmed design elements. A public permission matrix and security guide should be published.</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UC-04</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Create Assessment Period and Activate Departments</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Prepare a facility-specific assessment instance for a defined period, framework, method and set of participating departments.</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Facility Administrator, Assessor, State Administrator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Facility, framework, assessment period and user assignments exist.</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facility begins a new self, internal, peer or external quality assessment cycle.</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Select the assigned facility and create a new assessment master record for the relevant period.</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Select the framework, facility type and assessment method.</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Validate that the facility does not already have a conflicting active assessment for the same scope and period.</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Activate the departments that are applicable to this assessment.</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Capture assessor and assessee information required by the programme.</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Generate department-specific checkpoint worklists from the selected framework version.</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Make the assessment available to authorised assessors and show progress at department and facility levels.</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a conflicting active assessment exists, creation is blocked or the user is directed to resume the existing assessment.</w:t>
      </w:r>
    </w:p>
    <w:p>
      <w:pPr>
        <w:pStyle w:val="ListBullet"/>
        <w:spacing w:before="0" w:after="40" w:line="259" w:lineRule="auto"/>
      </w:pPr>
      <w:r>
        <w:rPr>
          <w:rFonts w:ascii="Noto Sans" w:hAnsi="Noto Sans" w:cs="Noto Sans"/>
          <w:sz w:val="19"/>
        </w:rPr>
        <w:t>If a department has no mapped checkpoints, activation is blocked and the mapping issue is reported.</w:t>
      </w:r>
    </w:p>
    <w:p>
      <w:pPr>
        <w:pStyle w:val="ListBullet"/>
        <w:spacing w:before="0" w:after="40" w:line="259" w:lineRule="auto"/>
      </w:pPr>
      <w:r>
        <w:rPr>
          <w:rFonts w:ascii="Noto Sans" w:hAnsi="Noto Sans" w:cs="Noto Sans"/>
          <w:sz w:val="19"/>
        </w:rPr>
        <w:t>After responses exist, department deactivation is restricted to preserve assessment integrity.</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An active assessment instance with fixed framework version, period, method, departments and authorised participants.</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Assessor and assessee details must be limited to programme need and protected by role-based access.</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Creates a repeatable assessment workflow that can be configured for different programmes without changing the core engine.</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Assessment-specific department activation and one-active-assessment controls are confirmed business rules.</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UC-05</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Conduct Checkpoint-Level Quality Assessment</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Capture structured compliance findings and supporting evidence against each applicable checkpoint.</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Assessor, Assessee, Department Quality Team</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An active assessment exists; the department is activated; the assessor has access.</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The assessor opens or resumes the department checklist.</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Load the next applicable checkpoint with its standard, measurable element, assessment method and means of verification.</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Review the required evidence through observation, interview, record review or other framework-defined method.</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Record the framework-defined compliance value, such as non-compliant, partially compliant or fully compliant.</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Add remarks, evidence references or action-plan notes where applicable.</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Validate mandatory fields and save the response.</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Update department and facility progress immediately.</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Allow the assessor to resume from the last saved checkpoint until the department is complete.</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an inactive department is requested, the checklist is not returned.</w:t>
      </w:r>
    </w:p>
    <w:p>
      <w:pPr>
        <w:pStyle w:val="ListBullet"/>
        <w:spacing w:before="0" w:after="40" w:line="259" w:lineRule="auto"/>
      </w:pPr>
      <w:r>
        <w:rPr>
          <w:rFonts w:ascii="Noto Sans" w:hAnsi="Noto Sans" w:cs="Noto Sans"/>
          <w:sz w:val="19"/>
        </w:rPr>
        <w:t>If input is incomplete or outside allowed values, the response is rejected with a clear validation message.</w:t>
      </w:r>
    </w:p>
    <w:p>
      <w:pPr>
        <w:pStyle w:val="ListBullet"/>
        <w:spacing w:before="0" w:after="40" w:line="259" w:lineRule="auto"/>
      </w:pPr>
      <w:r>
        <w:rPr>
          <w:rFonts w:ascii="Noto Sans" w:hAnsi="Noto Sans" w:cs="Noto Sans"/>
          <w:sz w:val="19"/>
        </w:rPr>
        <w:t>If connectivity is interrupted, only successfully acknowledged saves are treated as committed; offline support should be separately documented if implemented.</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Timestamped checkpoint responses linked to the facility, assessment, department, framework version and assessor.</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Evidence uploads and remarks can contain sensitive information; guidance must prohibit unnecessary patient identifiers and restrict access to authorised users.</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Replaces inconsistent manual checklists with a transparent, auditable and reusable assessment process.</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Checkpoint-based assessment, progress tracking and framework-defined methods are confirmed core capabilities.</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UC-06</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Calculate Scores and Complete Assessment</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Produce reproducible scores and formally complete department and facility assessments while preserving original results.</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Assessor, Facility Administrator, Programme Monitor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Required checkpoint responses are saved and scoring rules are available for the framework version.</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The assessor requests score calculation or completion of a department/assessment.</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Validate expected versus submitted checkpoint counts for each active department.</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Calculate scores using the published framework rules and applicable denominators.</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Aggregate results by checkpoint, standard, area of concern, department and facility.</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Display score summaries and unresolved validation issues before finalisation.</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Complete each eligible department and then complete the assessment when all required departments are finalised.</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Freeze the original response and score set for audit purposes.</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Make results available to gap analysis, dashboards and reports.</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required checkpoints are missing, completion is blocked and the missing count is displayed.</w:t>
      </w:r>
    </w:p>
    <w:p>
      <w:pPr>
        <w:pStyle w:val="ListBullet"/>
        <w:spacing w:before="0" w:after="40" w:line="259" w:lineRule="auto"/>
      </w:pPr>
      <w:r>
        <w:rPr>
          <w:rFonts w:ascii="Noto Sans" w:hAnsi="Noto Sans" w:cs="Noto Sans"/>
          <w:sz w:val="19"/>
        </w:rPr>
        <w:t>If a formula or mapping error occurs, the assessment remains open and the error is logged for administrator review.</w:t>
      </w:r>
    </w:p>
    <w:p>
      <w:pPr>
        <w:pStyle w:val="ListBullet"/>
        <w:spacing w:before="0" w:after="40" w:line="259" w:lineRule="auto"/>
      </w:pPr>
      <w:r>
        <w:rPr>
          <w:rFonts w:ascii="Noto Sans" w:hAnsi="Noto Sans" w:cs="Noto Sans"/>
          <w:sz w:val="19"/>
        </w:rPr>
        <w:t>If an assessment is reopened under authorised policy, the action and reason are audited and historical results remain traceable.</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Final department and facility scores, completion status and an immutable original assessment record.</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Score reports should avoid unnecessary personal identifiers and follow scope-based access controls.</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Transparent scoring and preserved source responses support trust, auditability and independent verification.</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Score calculation, completion checks and original-score preservation are confirmed product rules.</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UC-07</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Generate and Review Gap Analysis</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Convert non-compliant and partially compliant assessment responses into a structured list of improvement gaps.</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Facility Administrator, Department Quality Team, Assessor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An assessment has calculated responses and the framework defines which compliance values represent a gap.</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The user opens gap analysis for a completed or sufficiently progressed assessment.</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Identify checkpoint responses that meet the framework-defined gap criteria, commonly scores below full compliance.</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Create a gap record linked to the original response, department, standard and checkpoint.</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Display the finding, evidence, remarks and current score.</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Allow the quality team to add a concise gap statement and, where configured, root cause or risk classification.</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Prioritise or filter gaps by department, concern, severity, status or owner.</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Confirm the gap list before action planning.</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Preserve traceability from each gap back to the original assessment evidence.</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no gap-qualifying responses exist, the system reports that no action plan is pending for the selected assessment scope.</w:t>
      </w:r>
    </w:p>
    <w:p>
      <w:pPr>
        <w:pStyle w:val="ListBullet"/>
        <w:spacing w:before="0" w:after="40" w:line="259" w:lineRule="auto"/>
      </w:pPr>
      <w:r>
        <w:rPr>
          <w:rFonts w:ascii="Noto Sans" w:hAnsi="Noto Sans" w:cs="Noto Sans"/>
          <w:sz w:val="19"/>
        </w:rPr>
        <w:t>If the same assessment period has no remaining actionable gaps, action-plan controls are disabled with a clear message.</w:t>
      </w:r>
    </w:p>
    <w:p>
      <w:pPr>
        <w:pStyle w:val="ListBullet"/>
        <w:spacing w:before="0" w:after="40" w:line="259" w:lineRule="auto"/>
      </w:pPr>
      <w:r>
        <w:rPr>
          <w:rFonts w:ascii="Noto Sans" w:hAnsi="Noto Sans" w:cs="Noto Sans"/>
          <w:sz w:val="19"/>
        </w:rPr>
        <w:t>If a gap is marked not applicable, the decision requires an authorised reason and audit entry.</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prioritised, traceable gap register for each assessment and department.</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Gap narratives and evidence must not expose patient or staff information beyond what is necessary for quality improvement.</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Ensures that assessment data leads to actionable public-service improvement rather than static reporting.</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Gap generation from non/partial compliance and “no pending action plan” handling are confirmed workflow elements.</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UC-08</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Create, Assign and Track Action Plans</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Define corrective actions for identified gaps and assign clear responsibility and target dates.</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Department Quality Team, Facility Administrator, Action Plan Owner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At least one open gap exists and the user has action-plan permission.</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The quality team selects an open gap for corrective action.</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Open the gap and review the original finding, score and supporting evidence.</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Define the corrective action, expected result, responsible person or role and target completion date.</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Add required resources, milestones, remarks or supporting documents when configured.</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Save and formally activate the action plan.</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Allow the owner to update progress and status while preserving prior entries.</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Show open, due, overdue and completed action plans on facility and monitoring views.</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Prevent duplicate active action plans for the same unresolved gap unless programme rules allow multiple actions.</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mandatory responsibility or target-date fields are missing, the action plan is not activated.</w:t>
      </w:r>
    </w:p>
    <w:p>
      <w:pPr>
        <w:pStyle w:val="ListBullet"/>
        <w:spacing w:before="0" w:after="40" w:line="259" w:lineRule="auto"/>
      </w:pPr>
      <w:r>
        <w:rPr>
          <w:rFonts w:ascii="Noto Sans" w:hAnsi="Noto Sans" w:cs="Noto Sans"/>
          <w:sz w:val="19"/>
        </w:rPr>
        <w:t>If the selected gap is already closed, creation is blocked.</w:t>
      </w:r>
    </w:p>
    <w:p>
      <w:pPr>
        <w:pStyle w:val="ListBullet"/>
        <w:spacing w:before="0" w:after="40" w:line="259" w:lineRule="auto"/>
      </w:pPr>
      <w:r>
        <w:rPr>
          <w:rFonts w:ascii="Noto Sans" w:hAnsi="Noto Sans" w:cs="Noto Sans"/>
          <w:sz w:val="19"/>
        </w:rPr>
        <w:t>If ownership changes, the reassignment and reason are recorded in history.</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time-bound action plan linked to the gap, owner, status, target date and evidence history.</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Use role or official account assignment where possible; restrict personal contact data and attachments.</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Creates clear institutional accountability and enables comparison of improvement progress across facilities.</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Responsibility assignment, target dates, progress and completion are confirmed CQI workflow concepts.</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UC-09</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Close Gaps and Measure Improvement</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Verify corrective action completion, record closure evidence and measure the improved compliance score without overwriting the original assessment.</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Action Plan Owner, Facility Reviewer, Assessor or Authorised Verifier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An active action plan exists and closure criteria are defined.</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The action owner submits the gap for closure or a reviewer verifies completion.</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Open the action plan and review agreed corrective actions and target date.</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Record completion details and upload or reference closure evidence.</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Allow an authorised verifier to accept, reject or return the closure for additional work.</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When accepted, record the revised score or compliance status separately from the original score.</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Mark the gap and action plan as closed and record the closure date.</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Update gap-closure rates, improved scores and CQI dashboards.</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Preserve the complete history of original finding, actions, evidence, decisions and revised result.</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evidence is insufficient, closure is rejected and the gap remains open with reviewer comments.</w:t>
      </w:r>
    </w:p>
    <w:p>
      <w:pPr>
        <w:pStyle w:val="ListBullet"/>
        <w:spacing w:before="0" w:after="40" w:line="259" w:lineRule="auto"/>
      </w:pPr>
      <w:r>
        <w:rPr>
          <w:rFonts w:ascii="Noto Sans" w:hAnsi="Noto Sans" w:cs="Noto Sans"/>
          <w:sz w:val="19"/>
        </w:rPr>
        <w:t>If the target date passes before closure, the item is flagged overdue but remains actionable.</w:t>
      </w:r>
    </w:p>
    <w:p>
      <w:pPr>
        <w:pStyle w:val="ListBullet"/>
        <w:spacing w:before="0" w:after="40" w:line="259" w:lineRule="auto"/>
      </w:pPr>
      <w:r>
        <w:rPr>
          <w:rFonts w:ascii="Noto Sans" w:hAnsi="Noto Sans" w:cs="Noto Sans"/>
          <w:sz w:val="19"/>
        </w:rPr>
        <w:t>If the gap recurs in a later assessment, it is recorded as a new finding linked to historical context rather than rewriting the prior closure.</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Verified closure status, closure evidence, revised score and complete improvement history.</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Closure evidence must be access-controlled, retained according to policy and screened for unnecessary personal data.</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Demonstrates measurable quality improvement and accountable use of public resources.</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Original responses are preserved and revised_score is used for improvement, which is a confirmed CQI rule.</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UC-10</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Monitor Monthly KPIs and Outcomes</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Capture and analyse monthly operational and outcome indicators independently of periodic checklist assessments.</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Facility User, Facility Administrator, District/State Monitor, Data Analyst</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The facility and department have applicable indicator definitions and the reporting month is open.</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facility enters monthly numerator, denominator, count or other configured indicator data.</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Load the indicator set applicable to the facility type and department.</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Display configured input fields such as numerator (N), denominator (D) and calculated result (R).</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Validate data types, allowed ranges, reporting month, duplicate submissions and required fields.</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Calculate results using the configured formula engine; where the approved rule applies, a zero denominator returns a result of zero rather than an invalid value.</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Save partial entries until all expected indicators are submitted, then allow formal completion.</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Show submitted, pending and completion percentages for KPI and Outcome reporting.</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Generate monthly trends, facility comparisons and district/state completion views.</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the same indicator and month already exist, the system blocks duplicate creation or opens authorised edit mode.</w:t>
      </w:r>
    </w:p>
    <w:p>
      <w:pPr>
        <w:pStyle w:val="ListBullet"/>
        <w:spacing w:before="0" w:after="40" w:line="259" w:lineRule="auto"/>
      </w:pPr>
      <w:r>
        <w:rPr>
          <w:rFonts w:ascii="Noto Sans" w:hAnsi="Noto Sans" w:cs="Noto Sans"/>
          <w:sz w:val="19"/>
        </w:rPr>
        <w:t>If formula validation fails, the value is not finalised and the configuration error is reported.</w:t>
      </w:r>
    </w:p>
    <w:p>
      <w:pPr>
        <w:pStyle w:val="ListBullet"/>
        <w:spacing w:before="0" w:after="40" w:line="259" w:lineRule="auto"/>
      </w:pPr>
      <w:r>
        <w:rPr>
          <w:rFonts w:ascii="Noto Sans" w:hAnsi="Noto Sans" w:cs="Noto Sans"/>
          <w:sz w:val="19"/>
        </w:rPr>
        <w:t>If the reporting month is outside the permitted historical window, entry is blocked according to programme rules.</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Validated monthly performance records, calculated results, completion status and trend data.</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Indicators should be aggregated and non-PII by default. Any sensitive small-number reporting should follow disclosure-control policy.</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Extends quality governance from occasional assessments to continuous, reusable and data-driven monitoring.</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Performance Monitoring is the confirmed module name. JSON-driven indicators and formula definitions are part of the open-source design direction.</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UC-11</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Track Certification Lifecycle</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Maintain a reliable record of facility certification decisions, validity, conditional status, expiry and renewal.</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Certification Authority, State Administrator, Programme Monitor, Facility Administrator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The facility exists and the user is authorised to record or review certification.</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certification decision is issued, updated, renewed, suspended, expired or reviewed.</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Record the facility, certification programme/type, level or authority, status, issue date and validity period.</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Attach or reference the official decision or certificate where permitted.</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Calculate or validate the expiry date according to the applicable certification rule.</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Show current certification separately from historical records.</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Flag certifications approaching expiry, expired or requiring renewal.</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Record renewal, conditional certification and superseding decisions without deleting history.</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Aggregate certification status by facility type, district and state for dashboards and reports.</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overlapping active records conflict, the system blocks the update or requires authorised reconciliation.</w:t>
      </w:r>
    </w:p>
    <w:p>
      <w:pPr>
        <w:pStyle w:val="ListBullet"/>
        <w:spacing w:before="0" w:after="40" w:line="259" w:lineRule="auto"/>
      </w:pPr>
      <w:r>
        <w:rPr>
          <w:rFonts w:ascii="Noto Sans" w:hAnsi="Noto Sans" w:cs="Noto Sans"/>
          <w:sz w:val="19"/>
        </w:rPr>
        <w:t>If validity rules differ by programme, the rule is selected from configuration rather than hard-coded globally.</w:t>
      </w:r>
    </w:p>
    <w:p>
      <w:pPr>
        <w:pStyle w:val="ListBullet"/>
        <w:spacing w:before="0" w:after="40" w:line="259" w:lineRule="auto"/>
      </w:pPr>
      <w:r>
        <w:rPr>
          <w:rFonts w:ascii="Noto Sans" w:hAnsi="Noto Sans" w:cs="Noto Sans"/>
          <w:sz w:val="19"/>
        </w:rPr>
        <w:t>If a certificate is revoked, the reason and effective date are recorded and prior history remains visible to authorised users.</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Current certification status, validity dates, renewal queue and full certification history.</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Certification outputs should contain facility-level information and avoid publishing personal reviewer details or sensitive documents.</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Supports transparent quality recognition, renewal planning and accountable programme oversight.</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Certification tracking, validity and history are confirmed SaQshi capabilities; configuration and public verification evidence should be completed for DPG readiness.</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UC-12</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Monitor Quality Through Dashboards and Drill-Down</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Provide decision-makers with role-scoped views of assessment, CQI, performance and certification status.</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State Administrator, District/Division Monitor, Facility Administrator, Analyst, Viewer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The user is authenticated and dashboard data is available for the assigned scope.</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programme manager or facility team opens a monitoring dashboard.</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Apply the user’s geographic, organisational and programme scope.</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Display headline indicators for facilities, assessments, completion, open gaps, closure rate, action plans, performance reporting and certification.</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Provide map, chart, trend and tabular views appropriate to the module.</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Allow filtering by time period, facility type, district, programme, department and status.</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Drill from state or district summary to facility and assessment detail.</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Highlight overdue actions, incomplete reporting and expiring certifications.</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Allow authorised export of the filtered view or underlying non-PII data.</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data is unavailable or stale, the dashboard shows the last refresh time and a clear status rather than misleading zero values.</w:t>
      </w:r>
    </w:p>
    <w:p>
      <w:pPr>
        <w:pStyle w:val="ListBullet"/>
        <w:spacing w:before="0" w:after="40" w:line="259" w:lineRule="auto"/>
      </w:pPr>
      <w:r>
        <w:rPr>
          <w:rFonts w:ascii="Noto Sans" w:hAnsi="Noto Sans" w:cs="Noto Sans"/>
          <w:sz w:val="19"/>
        </w:rPr>
        <w:t>If a user lacks permission for a drill-down, aggregated information may be shown while restricted detail remains inaccessible.</w:t>
      </w:r>
    </w:p>
    <w:p>
      <w:pPr>
        <w:pStyle w:val="ListBullet"/>
        <w:spacing w:before="0" w:after="40" w:line="259" w:lineRule="auto"/>
      </w:pPr>
      <w:r>
        <w:rPr>
          <w:rFonts w:ascii="Noto Sans" w:hAnsi="Noto Sans" w:cs="Noto Sans"/>
          <w:sz w:val="19"/>
        </w:rPr>
        <w:t>If small counts create disclosure risk, values are suppressed or aggregated according to policy.</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Role-scoped visual and tabular decision-support views with traceable drill-down.</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Dashboards enforce row-level scope, exclude unnecessary PII and apply disclosure controls to sensitive aggregates.</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Improves public-sector accountability and enables timely targeting of support to facilities with the greatest quality gaps.</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Certification maps, assessment progress, CQI, performance completion, facility drill-down and user administration are confirmed monitoring areas.</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UC-13</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Generate Reports and Export Non-PII Data</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Allow authorised users to obtain portable, documented and privacy-safe data and reports for review, analysis and interoperability.</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Data Analyst, Programme Monitor, State Administrator, System Implementer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The user has export permission and the requested scope and date range are valid.</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user requests a report or machine-readable export.</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Select report type, period, programme, geography, facility type, department and status filters.</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Generate standard reports for assessment progress, scores, gaps, action plans, closure, performance and certification.</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Offer appropriate formats such as Excel, CSV, PDF or JSON.</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Exclude or de-identify personal data by default and clearly document fields included in each export.</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Apply consistent stable identifiers and timestamps for downstream analysis.</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Log high-risk or bulk exports according to security policy.</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Provide an export status and clear error message if generation fails.</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the requested export includes restricted fields, the system removes them or requires a higher permission level and explicit purpose.</w:t>
      </w:r>
    </w:p>
    <w:p>
      <w:pPr>
        <w:pStyle w:val="ListBullet"/>
        <w:spacing w:before="0" w:after="40" w:line="259" w:lineRule="auto"/>
      </w:pPr>
      <w:r>
        <w:rPr>
          <w:rFonts w:ascii="Noto Sans" w:hAnsi="Noto Sans" w:cs="Noto Sans"/>
          <w:sz w:val="19"/>
        </w:rPr>
        <w:t>If the dataset is too large for synchronous generation, the deployment may use a job mechanism, but the behaviour and retention of generated files must be documented.</w:t>
      </w:r>
    </w:p>
    <w:p>
      <w:pPr>
        <w:pStyle w:val="ListBullet"/>
        <w:spacing w:before="0" w:after="40" w:line="259" w:lineRule="auto"/>
      </w:pPr>
      <w:r>
        <w:rPr>
          <w:rFonts w:ascii="Noto Sans" w:hAnsi="Noto Sans" w:cs="Noto Sans"/>
          <w:sz w:val="19"/>
        </w:rPr>
        <w:t>If no records match the filters, the report returns a valid empty result with headers and filter metadata.</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Human-readable reports and machine-readable non-PII datasets with documented schemas.</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Data minimisation, de-identification, purpose limitation, access controls, export logging and retention limits are essential.</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Directly supports the DPG requirement for extracting non-PII data and prevents lock-in to the application database.</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Excel/PDF reporting is confirmed; documented CSV/JSON non-PII export and data dictionary should be treated as mandatory DPG evidence.</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UC-14</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Conduct External or Peer Assessment</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Enable an authorised independent assessor to evaluate a facility using the same framework while preserving role separation and traceability.</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External Assessor, Facility Assessee, Certification Reviewer, Programme Administrator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The assessor is authorised for the facility and assessment type; the applicable framework and period exist.</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peer, verification, external or certification-linked assessment is scheduled.</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Create or assign the external assessment with a clearly identified assessment method and assessor role.</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Grant time-bound, facility-specific access to the assessor.</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Capture assessor and assessee details required by programme policy.</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Conduct the checkpoint workflow independently of prior self-assessment responses unless comparison is explicitly permitted.</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Calculate and finalise the external assessment score.</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Compare self and external results at aggregate level where authorised.</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Use the findings for gap analysis, certification review or programme learning.</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the assessor’s authorisation expires, access is blocked without deleting saved work.</w:t>
      </w:r>
    </w:p>
    <w:p>
      <w:pPr>
        <w:pStyle w:val="ListBullet"/>
        <w:spacing w:before="0" w:after="40" w:line="259" w:lineRule="auto"/>
      </w:pPr>
      <w:r>
        <w:rPr>
          <w:rFonts w:ascii="Noto Sans" w:hAnsi="Noto Sans" w:cs="Noto Sans"/>
          <w:sz w:val="19"/>
        </w:rPr>
        <w:t>If comparison with self-assessment could bias the assessor, prior results remain hidden until finalisation.</w:t>
      </w:r>
    </w:p>
    <w:p>
      <w:pPr>
        <w:pStyle w:val="ListBullet"/>
        <w:spacing w:before="0" w:after="40" w:line="259" w:lineRule="auto"/>
      </w:pPr>
      <w:r>
        <w:rPr>
          <w:rFonts w:ascii="Noto Sans" w:hAnsi="Noto Sans" w:cs="Noto Sans"/>
          <w:sz w:val="19"/>
        </w:rPr>
        <w:t>If a conflict of interest is declared, the assessment is reassigned and the event is documented.</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separately attributable external/peer assessment and, where allowed, comparison analysis.</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Use time-bound least-privilege access and protect evidence from unrelated facilities or assessments.</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Supports independent verification and reuse of the same transparent framework across assessment types.</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Multiple assessment methods and assessor information are supported concepts; exact external-assessment policy should be documented by each adopter.</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UC-15</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Adapt and Deploy SaQshi in Another Jurisdiction</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Allow a government or implementing partner to install, configure and operate SaQshi without dependence on a single vendor or original deployment.</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Government Implementer, System Administrator, Open-source Contributor, Programme Owner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Source code, approved open-source licence, installation documentation and supported dependencies are publicly available.</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new state, country, health programme or partner decides to adopt SaQshi.</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Fork or obtain the official source-code release and verify licence and release integrity.</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Deploy the application using documented infrastructure options and environment configuration.</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Configure administrative hierarchy, facility types, roles, languages, branding and notification settings.</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Load or author the local quality framework using the published schema.</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Import facility master data and create local administrator accounts.</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Run automated and manual tests using sample data before production use.</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Operate, update and contribute improvements through the public governance and contribution process.</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local policy requires a different database, identity provider or hosting model, supported extension points are used rather than maintaining an unmergeable private fork.</w:t>
      </w:r>
    </w:p>
    <w:p>
      <w:pPr>
        <w:pStyle w:val="ListBullet"/>
        <w:spacing w:before="0" w:after="40" w:line="259" w:lineRule="auto"/>
      </w:pPr>
      <w:r>
        <w:rPr>
          <w:rFonts w:ascii="Noto Sans" w:hAnsi="Noto Sans" w:cs="Noto Sans"/>
          <w:sz w:val="19"/>
        </w:rPr>
        <w:t>If a framework needs new features not represented in the schema, the adopter proposes an upstream extension with backward compatibility.</w:t>
      </w:r>
    </w:p>
    <w:p>
      <w:pPr>
        <w:pStyle w:val="ListBullet"/>
        <w:spacing w:before="0" w:after="40" w:line="259" w:lineRule="auto"/>
      </w:pPr>
      <w:r>
        <w:rPr>
          <w:rFonts w:ascii="Noto Sans" w:hAnsi="Noto Sans" w:cs="Noto Sans"/>
          <w:sz w:val="19"/>
        </w:rPr>
        <w:t>If local language or accessibility requirements are unmet, translation and accessibility contributions are added through documented processes.</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locally governed SaQshi deployment using the shared core product and documented configuration.</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The adopter must configure local privacy, retention, access and hosting controls; privacy-safe defaults should be provided by the core project.</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Demonstrates platform independence, local ownership, adaptability, sustainability and reduced vendor lock-in.</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This is a DPG-readiness use case. Reproducible installation, container/deployment files, upgrade guidance, sample configuration and contributor governance must be publicly verifiable.</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UC-16</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Integrate Through Open APIs</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Allow authorised systems to exchange facility, framework, assessment, performance or certification data through versioned interfaces.</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System Implementer, Authorised API Consumer, Data Platform Administrator</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API documentation, authentication credentials, scopes and data-sharing approval exist.</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Another public system needs approved SaQshi data or must submit data to a supported transactional endpoint.</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Discover the API contract through published OpenAPI documentation.</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Authenticate using the supported method, such as API key or token-based access, and request only required scopes.</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Read public or non-sensitive master data through approved read-only endpoints.</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Submit protected transactional data through validated endpoints where enabled.</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Receive consistent JSON responses, HTTP status codes and error messages.</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Use stable identifiers, pagination, filtering and versioned endpoints to support reliable integration.</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Log access, monitor rate limits and rotate credentials according to policy.</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an API version is deprecated, the consumer receives a documented migration window and replacement contract.</w:t>
      </w:r>
    </w:p>
    <w:p>
      <w:pPr>
        <w:pStyle w:val="ListBullet"/>
        <w:spacing w:before="0" w:after="40" w:line="259" w:lineRule="auto"/>
      </w:pPr>
      <w:r>
        <w:rPr>
          <w:rFonts w:ascii="Noto Sans" w:hAnsi="Noto Sans" w:cs="Noto Sans"/>
          <w:sz w:val="19"/>
        </w:rPr>
        <w:t>If validation fails, no partial transaction is committed and field-level errors are returned.</w:t>
      </w:r>
    </w:p>
    <w:p>
      <w:pPr>
        <w:pStyle w:val="ListBullet"/>
        <w:spacing w:before="0" w:after="40" w:line="259" w:lineRule="auto"/>
      </w:pPr>
      <w:r>
        <w:rPr>
          <w:rFonts w:ascii="Noto Sans" w:hAnsi="Noto Sans" w:cs="Noto Sans"/>
          <w:sz w:val="19"/>
        </w:rPr>
        <w:t>If the consumer exceeds rate or scope limits, access is throttled or denied and logged.</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Secure, documented and versioned data exchange between SaQshi and authorised systems.</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Apply purpose-based scopes, minimised payloads, transport encryption, credential rotation, audit logs and data-sharing agreements where needed.</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Promotes interoperability, prevents duplicate data entry and enables integration into wider digital public infrastructure ecosystems.</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Versioned REST/JSON APIs, public masters, protected transactions and OpenAPI are confirmed architecture directions; a complete public API specification is needed for DPG evidence.</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UC-17</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Protect Data, Manage Sessions and Maintain Auditability</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Prevent unauthorised access, reduce security and privacy risk, and provide evidence of important user and administrative actions.</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System Administrator, Security Officer, Application Administrator, All Users</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Security configuration, secrets, logging, backup and incident-response procedures are established.</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 user authenticates, performs a protected operation, fails authentication, exports data or changes configuration.</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w:t>
      </w:r>
      <w:r>
        <w:rPr>
          <w:rFonts w:ascii="Noto Sans" w:hAnsi="Noto Sans" w:cs="Noto Sans"/>
          <w:sz w:val="19"/>
        </w:rPr>
        <w:t xml:space="preserve">  Enforce secure authentication and protected session creation.</w:t>
      </w:r>
    </w:p>
    <w:p>
      <w:pPr>
        <w:spacing w:before="0" w:after="40" w:line="259" w:lineRule="auto"/>
        <w:ind w:left="360" w:hanging="360"/>
      </w:pPr>
      <w:r>
        <w:rPr>
          <w:rFonts w:ascii="Noto Sans" w:hAnsi="Noto Sans" w:cs="Noto Sans"/>
          <w:sz w:val="19"/>
        </w:rPr>
        <w:t>2.</w:t>
      </w:r>
      <w:r>
        <w:rPr>
          <w:rFonts w:ascii="Noto Sans" w:hAnsi="Noto Sans" w:cs="Noto Sans"/>
          <w:sz w:val="19"/>
        </w:rPr>
        <w:t xml:space="preserve">  Apply role, permission and organisational-scope checks on every protected operation.</w:t>
      </w:r>
    </w:p>
    <w:p>
      <w:pPr>
        <w:spacing w:before="0" w:after="40" w:line="259" w:lineRule="auto"/>
        <w:ind w:left="360" w:hanging="360"/>
      </w:pPr>
      <w:r>
        <w:rPr>
          <w:rFonts w:ascii="Noto Sans" w:hAnsi="Noto Sans" w:cs="Noto Sans"/>
          <w:sz w:val="19"/>
        </w:rPr>
        <w:t>3.</w:t>
      </w:r>
      <w:r>
        <w:rPr>
          <w:rFonts w:ascii="Noto Sans" w:hAnsi="Noto Sans" w:cs="Noto Sans"/>
          <w:sz w:val="19"/>
        </w:rPr>
        <w:t xml:space="preserve">  Use CSRF protection, secure headers, input validation and parameterised database operations.</w:t>
      </w:r>
    </w:p>
    <w:p>
      <w:pPr>
        <w:spacing w:before="0" w:after="40" w:line="259" w:lineRule="auto"/>
        <w:ind w:left="360" w:hanging="360"/>
      </w:pPr>
      <w:r>
        <w:rPr>
          <w:rFonts w:ascii="Noto Sans" w:hAnsi="Noto Sans" w:cs="Noto Sans"/>
          <w:sz w:val="19"/>
        </w:rPr>
        <w:t>4.</w:t>
      </w:r>
      <w:r>
        <w:rPr>
          <w:rFonts w:ascii="Noto Sans" w:hAnsi="Noto Sans" w:cs="Noto Sans"/>
          <w:sz w:val="19"/>
        </w:rPr>
        <w:t xml:space="preserve">  Limit repeated failed login attempts and record relevant authentication events.</w:t>
      </w:r>
    </w:p>
    <w:p>
      <w:pPr>
        <w:spacing w:before="0" w:after="40" w:line="259" w:lineRule="auto"/>
        <w:ind w:left="360" w:hanging="360"/>
      </w:pPr>
      <w:r>
        <w:rPr>
          <w:rFonts w:ascii="Noto Sans" w:hAnsi="Noto Sans" w:cs="Noto Sans"/>
          <w:sz w:val="19"/>
        </w:rPr>
        <w:t>5.</w:t>
      </w:r>
      <w:r>
        <w:rPr>
          <w:rFonts w:ascii="Noto Sans" w:hAnsi="Noto Sans" w:cs="Noto Sans"/>
          <w:sz w:val="19"/>
        </w:rPr>
        <w:t xml:space="preserve">  Log administrative, configuration, assessment-finalisation, export and security-sensitive actions.</w:t>
      </w:r>
    </w:p>
    <w:p>
      <w:pPr>
        <w:spacing w:before="0" w:after="40" w:line="259" w:lineRule="auto"/>
        <w:ind w:left="360" w:hanging="360"/>
      </w:pPr>
      <w:r>
        <w:rPr>
          <w:rFonts w:ascii="Noto Sans" w:hAnsi="Noto Sans" w:cs="Noto Sans"/>
          <w:sz w:val="19"/>
        </w:rPr>
        <w:t>6.</w:t>
      </w:r>
      <w:r>
        <w:rPr>
          <w:rFonts w:ascii="Noto Sans" w:hAnsi="Noto Sans" w:cs="Noto Sans"/>
          <w:sz w:val="19"/>
        </w:rPr>
        <w:t xml:space="preserve">  Protect data in transit and secure secrets and database access according to deployment policy.</w:t>
      </w:r>
    </w:p>
    <w:p>
      <w:pPr>
        <w:spacing w:before="0" w:after="40" w:line="259" w:lineRule="auto"/>
        <w:ind w:left="360" w:hanging="360"/>
      </w:pPr>
      <w:r>
        <w:rPr>
          <w:rFonts w:ascii="Noto Sans" w:hAnsi="Noto Sans" w:cs="Noto Sans"/>
          <w:sz w:val="19"/>
        </w:rPr>
        <w:t>7.</w:t>
      </w:r>
      <w:r>
        <w:rPr>
          <w:rFonts w:ascii="Noto Sans" w:hAnsi="Noto Sans" w:cs="Noto Sans"/>
          <w:sz w:val="19"/>
        </w:rPr>
        <w:t xml:space="preserve">  Review logs, vulnerabilities, backups, retention and incidents through documented operational procedures.</w:t>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suspicious activity is detected, the deployment can disable credentials, invalidate sessions and preserve logs for investigation.</w:t>
      </w:r>
    </w:p>
    <w:p>
      <w:pPr>
        <w:pStyle w:val="ListBullet"/>
        <w:spacing w:before="0" w:after="40" w:line="259" w:lineRule="auto"/>
      </w:pPr>
      <w:r>
        <w:rPr>
          <w:rFonts w:ascii="Noto Sans" w:hAnsi="Noto Sans" w:cs="Noto Sans"/>
          <w:sz w:val="19"/>
        </w:rPr>
        <w:t>If logging fails, high-risk operations may be blocked or an operational alert generated according to policy.</w:t>
      </w:r>
    </w:p>
    <w:p>
      <w:pPr>
        <w:pStyle w:val="ListBullet"/>
        <w:spacing w:before="0" w:after="40" w:line="259" w:lineRule="auto"/>
      </w:pPr>
      <w:r>
        <w:rPr>
          <w:rFonts w:ascii="Noto Sans" w:hAnsi="Noto Sans" w:cs="Noto Sans"/>
          <w:sz w:val="19"/>
        </w:rPr>
        <w:t>If a security vulnerability is reported, the project follows a public security policy and coordinated remediation process.</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Protected sessions, enforced permissions, security logs and auditable administrative and programme actions.</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Maintain a data inventory, lawful processing basis, retention schedule, user-rights process, breach procedure and privacy-safe defaults.</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Addresses the DPG do-no-harm expectations for privacy and security and builds trust for public-sector reuse.</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val="0"/>
                <w:color w:val="404040"/>
                <w:sz w:val="17"/>
              </w:rPr>
              <w:t>Session management, CSRF, lockout, RBAC and security headers are confirmed design elements. Threat model, security policy, vulnerability disclosure, incident response and privacy documentation remain essential public evidence.</w:t>
            </w:r>
          </w:p>
        </w:tc>
      </w:tr>
    </w:tbl>
    <w:p>
      <w:pPr>
        <w:spacing w:after="100"/>
      </w:pPr>
    </w:p>
    <w:p>
      <w:r>
        <w:br w:type="page"/>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1348"/>
        <w:gridCol w:w="8444"/>
      </w:tblGrid>
      <w:tr>
        <w:trPr>
          <w:cantSplit/>
        </w:trPr>
        <w:tc>
          <w:tcPr>
            <w:tcW w:type="dxa" w:w="1348"/>
            <w:shd w:fill="1F4E78"/>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jc w:val="center"/>
            </w:pPr>
            <w:r/>
            <w:r>
              <w:rPr>
                <w:rFonts w:ascii="Noto Sans" w:hAnsi="Noto Sans" w:cs="Noto Sans"/>
                <w:b/>
                <w:color w:val="FFFFFF"/>
                <w:sz w:val="21"/>
              </w:rPr>
              <w:t>UC-18</w:t>
            </w:r>
          </w:p>
        </w:tc>
        <w:tc>
          <w:tcPr>
            <w:tcW w:type="dxa" w:w="8444"/>
            <w:shd w:fill="17365D"/>
            <w:vAlign w:val="center"/>
            <w:tcMar>
              <w:top w:w="90" w:type="dxa"/>
              <w:start w:w="100" w:type="dxa"/>
              <w:bottom w:w="90" w:type="dxa"/>
              <w:end w:w="100" w:type="dxa"/>
            </w:tcMar>
            <w:tcBorders>
              <w:top w:val="single" w:sz="5" w:color="17365D"/>
              <w:start w:val="single" w:sz="5" w:color="17365D"/>
              <w:bottom w:val="single" w:sz="5" w:color="17365D"/>
              <w:end w:val="single" w:sz="5" w:color="17365D"/>
            </w:tcBorders>
          </w:tcPr>
          <w:p>
            <w:pPr>
              <w:spacing w:before="0" w:after="0" w:line="240" w:lineRule="auto"/>
            </w:pPr>
            <w:r/>
            <w:r>
              <w:rPr>
                <w:rFonts w:ascii="Noto Sans" w:hAnsi="Noto Sans" w:cs="Noto Sans"/>
                <w:b/>
                <w:color w:val="FFFFFF"/>
                <w:sz w:val="21"/>
              </w:rPr>
              <w:t>Verify Facility Certification Status</w:t>
            </w:r>
          </w:p>
        </w:tc>
      </w:tr>
    </w:tbl>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Objective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r>
              <w:t>Allow public or authorised users to verify a facility's current certification status while protecting personal, internal and unpublished information.</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Primary actors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r>
              <w:t>Public user, facility representative, certification authority</w:t>
            </w:r>
          </w:p>
        </w:tc>
      </w:tr>
      <w:tr>
        <w:trPr>
          <w:cantSplit/>
        </w:trPr>
        <w:tc>
          <w:tcPr>
            <w:tcW w:type="dxa" w:w="2058"/>
            <w:shd w:fill="EAF3F8"/>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Preconditions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r>
              <w:t>A current certification record exists, and the authority has approved the fields that may be disclosed.</w:t>
            </w:r>
          </w:p>
        </w:tc>
      </w:tr>
      <w:tr>
        <w:trPr>
          <w:cantSplit/>
        </w:trPr>
        <w:tc>
          <w:tcPr>
            <w:tcW w:type="dxa" w:w="2058"/>
            <w:shd w:fill="DDEBF0"/>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Trigger</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r>
              <w:t>The user enters a facility ID or certificate reference, or scans a verification code.</w:t>
            </w:r>
          </w:p>
        </w:tc>
      </w:tr>
    </w:tbl>
    <w:p>
      <w:pPr>
        <w:spacing w:before="80" w:after="40" w:line="259" w:lineRule="auto"/>
      </w:pPr>
      <w:r>
        <w:rPr>
          <w:rFonts w:ascii="Noto Sans" w:hAnsi="Noto Sans" w:cs="Noto Sans"/>
          <w:b/>
          <w:color w:val="0F6B78"/>
          <w:sz w:val="19"/>
        </w:rPr>
        <w:t>Main flow</w:t>
      </w:r>
    </w:p>
    <w:p>
      <w:pPr>
        <w:spacing w:before="0" w:after="40" w:line="259" w:lineRule="auto"/>
        <w:ind w:left="360" w:hanging="360"/>
      </w:pPr>
      <w:r>
        <w:rPr>
          <w:rFonts w:ascii="Noto Sans" w:hAnsi="Noto Sans" w:cs="Noto Sans"/>
          <w:sz w:val="19"/>
        </w:rPr>
        <w:t>1.  Accept and validate a facility ID, certificate reference or verification code.</w:t>
      </w:r>
      <w:r>
        <w:rPr>
          <w:rFonts w:ascii="Noto Sans" w:hAnsi="Noto Sans" w:cs="Noto Sans"/>
          <w:sz w:val="19"/>
        </w:rPr>
      </w:r>
    </w:p>
    <w:p>
      <w:pPr>
        <w:spacing w:before="0" w:after="40" w:line="259" w:lineRule="auto"/>
        <w:ind w:left="360" w:hanging="360"/>
      </w:pPr>
      <w:r>
        <w:rPr>
          <w:rFonts w:ascii="Noto Sans" w:hAnsi="Noto Sans" w:cs="Noto Sans"/>
          <w:sz w:val="19"/>
        </w:rPr>
        <w:t>2.  Retrieve the latest certification record approved for verification.</w:t>
      </w:r>
      <w:r>
        <w:rPr>
          <w:rFonts w:ascii="Noto Sans" w:hAnsi="Noto Sans" w:cs="Noto Sans"/>
          <w:sz w:val="19"/>
        </w:rPr>
      </w:r>
    </w:p>
    <w:p>
      <w:pPr>
        <w:spacing w:before="0" w:after="40" w:line="259" w:lineRule="auto"/>
        <w:ind w:left="360" w:hanging="360"/>
      </w:pPr>
      <w:r>
        <w:rPr>
          <w:rFonts w:ascii="Noto Sans" w:hAnsi="Noto Sans" w:cs="Noto Sans"/>
          <w:sz w:val="19"/>
        </w:rPr>
        <w:t>3.  Display only approved fields: facility name, certification type, status, issuing authority, issue date and validity date.</w:t>
      </w:r>
      <w:r>
        <w:rPr>
          <w:rFonts w:ascii="Noto Sans" w:hAnsi="Noto Sans" w:cs="Noto Sans"/>
          <w:sz w:val="19"/>
        </w:rPr>
      </w:r>
    </w:p>
    <w:p>
      <w:pPr>
        <w:spacing w:before="0" w:after="40" w:line="259" w:lineRule="auto"/>
        <w:ind w:left="360" w:hanging="360"/>
      </w:pPr>
      <w:r>
        <w:rPr>
          <w:rFonts w:ascii="Noto Sans" w:hAnsi="Noto Sans" w:cs="Noto Sans"/>
          <w:sz w:val="19"/>
        </w:rPr>
        <w:t>4.  Clearly mark conditional, expired, revoked or superseded certifications.</w:t>
      </w:r>
      <w:r>
        <w:rPr>
          <w:rFonts w:ascii="Noto Sans" w:hAnsi="Noto Sans" w:cs="Noto Sans"/>
          <w:sz w:val="19"/>
        </w:rPr>
      </w:r>
    </w:p>
    <w:p>
      <w:pPr>
        <w:spacing w:before="0" w:after="40" w:line="259" w:lineRule="auto"/>
        <w:ind w:left="360" w:hanging="360"/>
      </w:pPr>
      <w:r>
        <w:rPr>
          <w:rFonts w:ascii="Noto Sans" w:hAnsi="Noto Sans" w:cs="Noto Sans"/>
          <w:sz w:val="19"/>
        </w:rPr>
        <w:t>5.  Show the verification timestamp and official source.</w:t>
      </w:r>
      <w:r>
        <w:rPr>
          <w:rFonts w:ascii="Noto Sans" w:hAnsi="Noto Sans" w:cs="Noto Sans"/>
          <w:sz w:val="19"/>
        </w:rPr>
      </w:r>
    </w:p>
    <w:p>
      <w:pPr>
        <w:spacing w:before="0" w:after="40" w:line="259" w:lineRule="auto"/>
        <w:ind w:left="360" w:hanging="360"/>
      </w:pPr>
      <w:r>
        <w:rPr>
          <w:rFonts w:ascii="Noto Sans" w:hAnsi="Noto Sans" w:cs="Noto Sans"/>
          <w:sz w:val="19"/>
        </w:rPr>
        <w:t>6.  Block access to internal evidence, user details and unpublished documents.</w:t>
      </w:r>
      <w:r>
        <w:rPr>
          <w:rFonts w:ascii="Noto Sans" w:hAnsi="Noto Sans" w:cs="Noto Sans"/>
          <w:sz w:val="19"/>
        </w:rPr>
      </w:r>
    </w:p>
    <w:p>
      <w:pPr>
        <w:spacing w:before="0" w:after="40" w:line="259" w:lineRule="auto"/>
        <w:ind w:left="360" w:hanging="360"/>
      </w:pPr>
      <w:r>
        <w:rPr>
          <w:rFonts w:ascii="Noto Sans" w:hAnsi="Noto Sans" w:cs="Noto Sans"/>
          <w:sz w:val="19"/>
        </w:rPr>
        <w:t>7.  Apply rate limits and log suspicious automated requests.</w:t>
      </w:r>
      <w:r>
        <w:rPr>
          <w:rFonts w:ascii="Noto Sans" w:hAnsi="Noto Sans" w:cs="Noto Sans"/>
          <w:sz w:val="19"/>
        </w:rPr>
      </w:r>
    </w:p>
    <w:p>
      <w:pPr>
        <w:spacing w:before="60" w:after="40" w:line="259" w:lineRule="auto"/>
      </w:pPr>
      <w:r>
        <w:rPr>
          <w:rFonts w:ascii="Noto Sans" w:hAnsi="Noto Sans" w:cs="Noto Sans"/>
          <w:b/>
          <w:color w:val="0F6B78"/>
          <w:sz w:val="19"/>
        </w:rPr>
        <w:t>Alternative / exception flow</w:t>
      </w:r>
    </w:p>
    <w:p>
      <w:pPr>
        <w:pStyle w:val="ListBullet"/>
        <w:spacing w:before="0" w:after="40" w:line="259" w:lineRule="auto"/>
      </w:pPr>
      <w:r>
        <w:rPr>
          <w:rFonts w:ascii="Noto Sans" w:hAnsi="Noto Sans" w:cs="Noto Sans"/>
          <w:sz w:val="19"/>
        </w:rPr>
        <w:t>If no matching record is found, return a neutral “not verified” message without implying poor quality.</w:t>
      </w:r>
    </w:p>
    <w:p>
      <w:pPr>
        <w:pStyle w:val="ListBullet"/>
        <w:spacing w:before="0" w:after="40" w:line="259" w:lineRule="auto"/>
      </w:pPr>
      <w:r>
        <w:rPr>
          <w:rFonts w:ascii="Noto Sans" w:hAnsi="Noto Sans" w:cs="Noto Sans"/>
          <w:sz w:val="19"/>
        </w:rPr>
        <w:t>If a certification has expired or been superseded, display the latest authorised status and relevant date.</w:t>
      </w:r>
    </w:p>
    <w:p>
      <w:pPr>
        <w:pStyle w:val="ListBullet"/>
        <w:spacing w:before="0" w:after="40" w:line="259" w:lineRule="auto"/>
      </w:pPr>
      <w:r>
        <w:rPr>
          <w:rFonts w:ascii="Noto Sans" w:hAnsi="Noto Sans" w:cs="Noto Sans"/>
          <w:sz w:val="19"/>
        </w:rPr>
        <w:t>If public verification is disabled, restrict the record to authenticated and authorised users.</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2058"/>
        <w:gridCol w:w="7734"/>
      </w:tblGrid>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Outputs</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r>
              <w:t>A verified, minimal and non-sensitive certification status response.</w:t>
            </w:r>
          </w:p>
        </w:tc>
      </w:tr>
      <w:tr>
        <w:trPr>
          <w:cantSplit/>
        </w:trPr>
        <w:tc>
          <w:tcPr>
            <w:tcW w:type="dxa" w:w="2058"/>
            <w:shd w:fill="FFF2CC"/>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Privacy &amp; security</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r>
              <w:t>No personal data or internal evidence is displayed. Access is rate-limited, and only essential security logs are retained.</w:t>
            </w:r>
          </w:p>
        </w:tc>
      </w:tr>
      <w:tr>
        <w:trPr>
          <w:cantSplit/>
        </w:trPr>
        <w:tc>
          <w:tcPr>
            <w:tcW w:type="dxa" w:w="2058"/>
            <w:shd w:fill="E2F0D9"/>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Public / DPG value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r>
              <w:t>Supports transparent verification of facility certification while preserving privacy.</w:t>
            </w:r>
          </w:p>
        </w:tc>
      </w:tr>
      <w:tr>
        <w:trPr>
          <w:cantSplit/>
        </w:trPr>
        <w:tc>
          <w:tcPr>
            <w:tcW w:type="dxa" w:w="2058"/>
            <w:shd w:fill="F2F2F2"/>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pPr>
              <w:spacing w:before="0" w:after="0" w:line="240" w:lineRule="auto"/>
            </w:pPr>
            <w:r/>
            <w:r>
              <w:rPr>
                <w:rFonts w:ascii="Noto Sans" w:hAnsi="Noto Sans" w:cs="Noto Sans"/>
                <w:b/>
                <w:color w:val="17365D"/>
                <w:sz w:val="17"/>
              </w:rPr>
              <w:t>Maturity note</w:t>
            </w:r>
          </w:p>
        </w:tc>
        <w:tc>
          <w:tcPr>
            <w:tcW w:type="dxa" w:w="7734"/>
            <w:vAlign w:val="center"/>
            <w:tcMar>
              <w:top w:w="90" w:type="dxa"/>
              <w:start w:w="100" w:type="dxa"/>
              <w:bottom w:w="90" w:type="dxa"/>
              <w:end w:w="100" w:type="dxa"/>
            </w:tcMar>
            <w:tcBorders>
              <w:top w:val="single" w:sz="3" w:space="0" w:color="C9D9E4"/>
              <w:start w:val="single" w:sz="3" w:space="0" w:color="C9D9E4"/>
              <w:bottom w:val="single" w:sz="3" w:space="0" w:color="C9D9E4"/>
              <w:end w:val="single" w:sz="3" w:space="0" w:color="C9D9E4"/>
            </w:tcBorders>
          </w:tcPr>
          <w:p>
            <w:r>
              <w:t>This is an optional capability. Include it in a DPG submission only when it is implemented, documented, tested and available in the core release or a demonstrable reference deployment.</w:t>
            </w:r>
          </w:p>
        </w:tc>
      </w:tr>
    </w:tbl>
    <w:p>
      <w:pPr>
        <w:spacing w:after="100"/>
      </w:pPr>
    </w:p>
    <w:p>
      <w:r>
        <w:br w:type="page"/>
      </w:r>
    </w:p>
    <w:p>
      <w:pPr>
        <w:pStyle w:val="Heading1"/>
        <w:spacing w:before="160" w:after="100" w:line="259" w:lineRule="auto"/>
      </w:pPr>
      <w:r>
        <w:rPr>
          <w:rFonts w:ascii="Noto Sans" w:hAnsi="Noto Sans" w:cs="Noto Sans"/>
          <w:b/>
          <w:color w:val="17365D"/>
          <w:sz w:val="30"/>
        </w:rPr>
        <w:t>6. DPG Standard Traceability</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9792"/>
      </w:tblGrid>
      <w:tr>
        <w:trPr>
          <w:cantSplit/>
        </w:trPr>
        <w:tc>
          <w:tcPr>
            <w:tcW w:type="dxa" w:w="9792"/>
            <w:shd w:fill="FFF2CC"/>
            <w:tcBorders>
              <w:top w:val="single" w:sz="8" w:color="BF9000"/>
              <w:start w:val="single" w:sz="8" w:color="BF9000"/>
              <w:bottom w:val="single" w:sz="4" w:color="BF9000"/>
              <w:end w:val="single" w:sz="4" w:color="BF9000"/>
            </w:tcBorders>
            <w:tcMar>
              <w:top w:w="120" w:type="dxa"/>
              <w:start w:w="150" w:type="dxa"/>
              <w:bottom w:w="120" w:type="dxa"/>
              <w:end w:w="150" w:type="dxa"/>
            </w:tcMar>
          </w:tcPr>
          <w:p>
            <w:pPr>
              <w:spacing w:before="0" w:after="40" w:line="259" w:lineRule="auto"/>
            </w:pPr>
            <w:r>
              <w:rPr>
                <w:rFonts w:ascii="Noto Sans" w:hAnsi="Noto Sans" w:cs="Noto Sans"/>
                <w:b/>
                <w:color w:val="17365D"/>
                <w:sz w:val="19"/>
              </w:rPr>
              <w:t>Interpretation</w:t>
            </w:r>
          </w:p>
          <w:p>
            <w:pPr>
              <w:spacing w:before="0" w:after="0" w:line="259" w:lineRule="auto"/>
            </w:pPr>
            <w:r>
              <w:rPr>
                <w:rFonts w:ascii="Noto Sans" w:hAnsi="Noto Sans" w:cs="Noto Sans"/>
                <w:color w:val="404040"/>
                <w:sz w:val="18"/>
              </w:rPr>
              <w:t>The table below identifies how SaQshi use cases can support a DPG application. Final compliance depends on publicly verifiable repository, policy, governance and technical evidence.</w:t>
            </w:r>
          </w:p>
        </w:tc>
      </w:tr>
    </w:tbl>
    <w:p>
      <w:pPr>
        <w:spacing w:after="0"/>
      </w:pP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3264"/>
        <w:gridCol w:w="3264"/>
        <w:gridCol w:w="3264"/>
      </w:tblGrid>
      <w:tr>
        <w:trPr>
          <w:tblHeader w:val="true"/>
          <w:cantSplit/>
        </w:trPr>
        <w:tc>
          <w:tcPr>
            <w:tcW w:type="dxa" w:w="3264"/>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7"/>
              </w:rPr>
              <w:t>DPG indicator</w:t>
            </w:r>
          </w:p>
        </w:tc>
        <w:tc>
          <w:tcPr>
            <w:tcW w:type="dxa" w:w="3264"/>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7"/>
              </w:rPr>
              <w:t>Related use cases</w:t>
            </w:r>
          </w:p>
        </w:tc>
        <w:tc>
          <w:tcPr>
            <w:tcW w:type="dxa" w:w="3264"/>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7"/>
              </w:rPr>
              <w:t>Evidence required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1. SDG Relevance</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UC-04 to UC-14</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Product description, SDG narrative, implementation evidence and outcome indicators showing relevance to SDG 3 and enabling SDGs.</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2. Open Licensing</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UC-15</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Approved open-source licence file covering the core source code; dependency licence review; copyright notices. Apache-2.0 is a suitable target if formally adopted.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3. Clear Ownership</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UC-01, UC-15, UC-17</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Public ownership statement, maintainer list, governance model, contributor policy and third-party asset provenance.</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4. Platform Independence</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UC-01, UC-15, UC-16</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Reproducible installation, supported operating environments, container/deployment documentation, no mandatory proprietary service, migration and backup guidance.</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5. Documentation</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All use cases</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README, architecture, installation, administration, user guides, framework schema, data dictionary, API documentation, release notes and troubleshooting.</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6. Non-PII Data Extraction</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UC-13, UC-16</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Documented CSV/JSON export, stable identifiers, de-identification rules and a method to extract useful data without personal information.</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7. Privacy &amp; Applicable Laws</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UC-03, UC-05, UC-12, UC-13, UC-17</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Privacy policy, data inventory, lawful basis, data-flow diagram, retention/deletion, data-subject handling and adopter configuration guidance.</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8. Open Standards &amp; Best Practices</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UC-01, UC-13, UC-16, UC-17</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REST/JSON/OpenAPI, semantic versioning, secure coding, accessibility, internationalisation, testing, code quality and documented standards used.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9A. Data Privacy &amp; Security</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UC-03, UC-13, UC-16, UC-17, UC-18</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Threat model, security controls, vulnerability disclosure, dependency scanning, incident response, encryption guidance, access control and audit evidence.</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9B. Inappropriate &amp; Illegal Content</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UC-05, UC-08, UC-09, UC-17</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Risk assessment for remarks/evidence uploads, acceptable-use rules, file validation, abuse handling and controls to prevent unlawful or harmful content.</w:t>
            </w:r>
          </w:p>
        </w:tc>
      </w:tr>
    </w:tbl>
    <w:p>
      <w:pPr>
        <w:pStyle w:val="Heading2"/>
        <w:spacing w:before="100" w:after="100" w:line="259" w:lineRule="auto"/>
      </w:pPr>
      <w:r>
        <w:rPr>
          <w:rFonts w:ascii="Noto Sans" w:hAnsi="Noto Sans" w:cs="Noto Sans"/>
          <w:b/>
          <w:color w:val="0F6B78"/>
          <w:sz w:val="24"/>
        </w:rPr>
        <w:t>6.1 Product-Level DPG Claims That Should Be Avoided Until Verified</w:t>
      </w:r>
    </w:p>
    <w:p>
      <w:pPr>
        <w:pStyle w:val="ListBullet"/>
        <w:spacing w:before="0" w:after="40" w:line="259" w:lineRule="auto"/>
      </w:pPr>
      <w:r>
        <w:rPr>
          <w:rFonts w:ascii="Noto Sans" w:hAnsi="Noto Sans" w:cs="Noto Sans"/>
          <w:sz w:val="19"/>
        </w:rPr>
        <w:t>Do not state that SaQshi is a recognised Digital Public Good until it appears as approved in the official DPG Registry.</w:t>
      </w:r>
    </w:p>
    <w:p>
      <w:pPr>
        <w:pStyle w:val="ListBullet"/>
        <w:spacing w:before="0" w:after="40" w:line="259" w:lineRule="auto"/>
      </w:pPr>
      <w:r>
        <w:rPr>
          <w:rFonts w:ascii="Noto Sans" w:hAnsi="Noto Sans" w:cs="Noto Sans"/>
          <w:sz w:val="19"/>
        </w:rPr>
        <w:t>Do not claim full platform independence unless a clean installation can be reproduced from public documentation without proprietary dependencies.</w:t>
      </w:r>
    </w:p>
    <w:p>
      <w:pPr>
        <w:pStyle w:val="ListBullet"/>
        <w:spacing w:before="0" w:after="40" w:line="259" w:lineRule="auto"/>
      </w:pPr>
      <w:r>
        <w:rPr>
          <w:rFonts w:ascii="Noto Sans" w:hAnsi="Noto Sans" w:cs="Noto Sans"/>
          <w:sz w:val="19"/>
        </w:rPr>
        <w:t>Do not claim privacy or security compliance only because RBAC and authentication exist; the application must also publish policies, risk analysis and operational guidance.</w:t>
      </w:r>
    </w:p>
    <w:p>
      <w:pPr>
        <w:pStyle w:val="ListBullet"/>
        <w:spacing w:before="0" w:after="40" w:line="259" w:lineRule="auto"/>
      </w:pPr>
      <w:r>
        <w:rPr>
          <w:rFonts w:ascii="Noto Sans" w:hAnsi="Noto Sans" w:cs="Noto Sans"/>
          <w:sz w:val="19"/>
        </w:rPr>
        <w:t>Do not claim non-PII data portability unless an adopter can actually export useful, documented data in an open format.</w:t>
      </w:r>
    </w:p>
    <w:p>
      <w:pPr>
        <w:pStyle w:val="ListBullet"/>
        <w:spacing w:before="0" w:after="40" w:line="259" w:lineRule="auto"/>
      </w:pPr>
      <w:r>
        <w:rPr>
          <w:rFonts w:ascii="Noto Sans" w:hAnsi="Noto Sans" w:cs="Noto Sans"/>
          <w:sz w:val="19"/>
        </w:rPr>
        <w:t>Do not publish implementation counts or geographic coverage in the nomination unless they are validated against current production records and approved for public disclosure.</w:t>
      </w:r>
    </w:p>
    <w:p>
      <w:pPr>
        <w:pStyle w:val="Heading1"/>
        <w:spacing w:before="160" w:after="100" w:line="259" w:lineRule="auto"/>
      </w:pPr>
      <w:r>
        <w:rPr>
          <w:rFonts w:ascii="Noto Sans" w:hAnsi="Noto Sans" w:cs="Noto Sans"/>
          <w:b/>
          <w:color w:val="17365D"/>
          <w:sz w:val="30"/>
        </w:rPr>
        <w:t>7. DPG Evidence and Documentation Checklist</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3264"/>
        <w:gridCol w:w="3264"/>
        <w:gridCol w:w="3264"/>
      </w:tblGrid>
      <w:tr>
        <w:trPr>
          <w:tblHeader w:val="true"/>
          <w:cantSplit/>
        </w:trPr>
        <w:tc>
          <w:tcPr>
            <w:tcW w:type="dxa" w:w="3264"/>
            <w:shd w:fill="0F6B7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7"/>
              </w:rPr>
              <w:t>Area</w:t>
            </w:r>
          </w:p>
        </w:tc>
        <w:tc>
          <w:tcPr>
            <w:tcW w:type="dxa" w:w="3264"/>
            <w:shd w:fill="0F6B7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7"/>
              </w:rPr>
              <w:t>Minimum evidence</w:t>
            </w:r>
          </w:p>
        </w:tc>
        <w:tc>
          <w:tcPr>
            <w:tcW w:type="dxa" w:w="3264"/>
            <w:shd w:fill="0F6B7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7"/>
              </w:rPr>
              <w:t>Status / owner</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Repository and release</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Public source repository; tagged release; release notes; build instructions; reproducible sample configuration.</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Open licence</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Approved licence file for source code; notices for third-party libraries, fonts, images and content.</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Ownership and governance</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Owner/maintainer statement; governance; decision-making; contribution guide; code of conduct.</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Product overview</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Problem statement; target users; product boundary; supported workflows; screenshots or demo using non-sensitive data.</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Architecture</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Logical architecture; module boundaries; deployment architecture; data flows; extension points; dependency list.</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Framework configuration</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JSON/schema specification; identifiers; validation; versioning; sample NQAS/MusQan/LaQshya configuration where licensing permits.</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Installation and operations</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Prerequisites; installation; environment variables; backup/restore; upgrades; monitoring; disaster recovery.</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User and admin guides</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Role-based guides covering facilities, assessments, CQI, performance, certification, dashboards and reports.</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API and interoperability</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OpenAPI definition; authentication; pagination; errors; versioning; sample requests/responses; deprecation policy.</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Data dictionary and export</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Tables/entities; field definitions; stable identifiers; non-PII export formats; de-identification rules.</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Privacy</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Privacy notice/template; data inventory; purposes; retention; deletion; data-subject requests; cross-border considerations.</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Security</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Threat model; security architecture; secret management; vulnerability disclosure; incident response; dependency scanning; secure deployment guide.</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Testing and quality</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Automated tests; test data; code quality checks; accessibility tests; performance/security testing evidence.</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Accessibility and localisation</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Keyboard and screen-reader support; contrast; language files; translation workflow; date/number formats.</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r>
        <w:trPr>
          <w:cantSplit/>
        </w:trPr>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Sustainability</w:t>
            </w:r>
          </w:p>
        </w:tc>
        <w:tc>
          <w:tcPr>
            <w:tcW w:type="dxa" w:w="3264"/>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Roadmap; maintainer capacity; issue process; release cadence; community participation and long-term stewardship.</w:t>
            </w:r>
          </w:p>
        </w:tc>
        <w:tc>
          <w:tcPr>
            <w:tcW w:type="dxa" w:w="3264"/>
            <w:vAlign w:val="center"/>
            <w:tcMar>
              <w:top w:w="90" w:type="dxa"/>
              <w:start w:w="100" w:type="dxa"/>
              <w:bottom w:w="90" w:type="dxa"/>
              <w:end w:w="100" w:type="dxa"/>
            </w:tcMar>
            <w:shd w:fill="FFF2CC"/>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7F6000"/>
                <w:sz w:val="16"/>
              </w:rPr>
              <w:t>To be completed</w:t>
            </w:r>
          </w:p>
        </w:tc>
      </w:tr>
    </w:tbl>
    <w:p>
      <w:pPr>
        <w:pStyle w:val="Heading2"/>
        <w:spacing w:before="100" w:after="100" w:line="259" w:lineRule="auto"/>
      </w:pPr>
      <w:r>
        <w:rPr>
          <w:rFonts w:ascii="Noto Sans" w:hAnsi="Noto Sans" w:cs="Noto Sans"/>
          <w:b/>
          <w:color w:val="0F6B78"/>
          <w:sz w:val="24"/>
        </w:rPr>
        <w:t>7.1 Recommended Public Repository Documentation Structure</w:t>
      </w:r>
    </w:p>
    <w:p>
      <w:pPr>
        <w:pStyle w:val="ListBullet"/>
        <w:spacing w:before="0" w:after="40" w:line="259" w:lineRule="auto"/>
      </w:pPr>
      <w:r>
        <w:rPr>
          <w:rFonts w:ascii="Noto Sans" w:hAnsi="Noto Sans" w:cs="Noto Sans"/>
          <w:sz w:val="19"/>
        </w:rPr>
        <w:t>README.md - product overview, public value, quick start and links to documentation</w:t>
      </w:r>
    </w:p>
    <w:p>
      <w:pPr>
        <w:pStyle w:val="ListBullet"/>
        <w:spacing w:before="0" w:after="40" w:line="259" w:lineRule="auto"/>
      </w:pPr>
      <w:r>
        <w:rPr>
          <w:rFonts w:ascii="Noto Sans" w:hAnsi="Noto Sans" w:cs="Noto Sans"/>
          <w:sz w:val="19"/>
        </w:rPr>
        <w:t>LICENSE and NOTICE - approved open-source licence and third-party attribution</w:t>
      </w:r>
    </w:p>
    <w:p>
      <w:pPr>
        <w:pStyle w:val="ListBullet"/>
        <w:spacing w:before="0" w:after="40" w:line="259" w:lineRule="auto"/>
      </w:pPr>
      <w:r>
        <w:rPr>
          <w:rFonts w:ascii="Noto Sans" w:hAnsi="Noto Sans" w:cs="Noto Sans"/>
          <w:sz w:val="19"/>
        </w:rPr>
        <w:t>CONTRIBUTING.md, CODE_OF_CONDUCT.md and GOVERNANCE.md</w:t>
      </w:r>
    </w:p>
    <w:p>
      <w:pPr>
        <w:pStyle w:val="ListBullet"/>
        <w:spacing w:before="0" w:after="40" w:line="259" w:lineRule="auto"/>
      </w:pPr>
      <w:r>
        <w:rPr>
          <w:rFonts w:ascii="Noto Sans" w:hAnsi="Noto Sans" w:cs="Noto Sans"/>
          <w:sz w:val="19"/>
        </w:rPr>
        <w:t>SECURITY.md - vulnerability reporting, supported versions and disclosure process</w:t>
      </w:r>
    </w:p>
    <w:p>
      <w:pPr>
        <w:pStyle w:val="ListBullet"/>
        <w:spacing w:before="0" w:after="40" w:line="259" w:lineRule="auto"/>
      </w:pPr>
      <w:r>
        <w:rPr>
          <w:rFonts w:ascii="Noto Sans" w:hAnsi="Noto Sans" w:cs="Noto Sans"/>
          <w:sz w:val="19"/>
        </w:rPr>
        <w:t>docs/architecture, docs/installation, docs/administration and docs/user-guides</w:t>
      </w:r>
    </w:p>
    <w:p>
      <w:pPr>
        <w:pStyle w:val="ListBullet"/>
        <w:spacing w:before="0" w:after="40" w:line="259" w:lineRule="auto"/>
      </w:pPr>
      <w:r>
        <w:rPr>
          <w:rFonts w:ascii="Noto Sans" w:hAnsi="Noto Sans" w:cs="Noto Sans"/>
          <w:sz w:val="19"/>
        </w:rPr>
        <w:t>docs/privacy, docs/security, docs/data-dictionary and docs/non-pii-export</w:t>
      </w:r>
    </w:p>
    <w:p>
      <w:pPr>
        <w:pStyle w:val="ListBullet"/>
        <w:spacing w:before="0" w:after="40" w:line="259" w:lineRule="auto"/>
      </w:pPr>
      <w:r>
        <w:rPr>
          <w:rFonts w:ascii="Noto Sans" w:hAnsi="Noto Sans" w:cs="Noto Sans"/>
          <w:sz w:val="19"/>
        </w:rPr>
        <w:t>docs/api/openapi.yaml and integration examples</w:t>
      </w:r>
    </w:p>
    <w:p>
      <w:pPr>
        <w:pStyle w:val="ListBullet"/>
        <w:spacing w:before="0" w:after="40" w:line="259" w:lineRule="auto"/>
      </w:pPr>
      <w:r>
        <w:rPr>
          <w:rFonts w:ascii="Noto Sans" w:hAnsi="Noto Sans" w:cs="Noto Sans"/>
          <w:sz w:val="19"/>
        </w:rPr>
        <w:t>config/frameworks with schemas, validation and safe sample framework packages</w:t>
      </w:r>
    </w:p>
    <w:p>
      <w:pPr>
        <w:pStyle w:val="ListBullet"/>
        <w:spacing w:before="0" w:after="40" w:line="259" w:lineRule="auto"/>
      </w:pPr>
      <w:r>
        <w:rPr>
          <w:rFonts w:ascii="Noto Sans" w:hAnsi="Noto Sans" w:cs="Noto Sans"/>
          <w:sz w:val="19"/>
        </w:rPr>
        <w:t>deploy/ or equivalent reproducible deployment assets</w:t>
      </w:r>
    </w:p>
    <w:p>
      <w:pPr>
        <w:pStyle w:val="ListBullet"/>
        <w:spacing w:before="0" w:after="40" w:line="259" w:lineRule="auto"/>
      </w:pPr>
      <w:r>
        <w:rPr>
          <w:rFonts w:ascii="Noto Sans" w:hAnsi="Noto Sans" w:cs="Noto Sans"/>
          <w:sz w:val="19"/>
        </w:rPr>
        <w:t>tests/ with automated test instructions and non-sensitive sample data</w:t>
      </w:r>
    </w:p>
    <w:p>
      <w:pPr>
        <w:pStyle w:val="Heading1"/>
        <w:spacing w:before="160" w:after="100" w:line="259" w:lineRule="auto"/>
      </w:pPr>
      <w:r>
        <w:rPr>
          <w:rFonts w:ascii="Noto Sans" w:hAnsi="Noto Sans" w:cs="Noto Sans"/>
          <w:b/>
          <w:color w:val="17365D"/>
          <w:sz w:val="30"/>
        </w:rPr>
        <w:t>8. Success Measures</w:t>
      </w:r>
    </w:p>
    <w:p>
      <w:pPr>
        <w:spacing w:before="0" w:after="100" w:line="259" w:lineRule="auto"/>
      </w:pPr>
      <w:r>
        <w:rPr>
          <w:rFonts w:ascii="Noto Sans" w:hAnsi="Noto Sans" w:cs="Noto Sans"/>
          <w:sz w:val="19"/>
        </w:rPr>
        <w:t>The following measures can be used to demonstrate whether the use cases deliver public value. Targets should be set by each implementation and should not be presented as achieved without validated data.</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4896"/>
        <w:gridCol w:w="4896"/>
      </w:tblGrid>
      <w:tr>
        <w:trPr>
          <w:tblHeader w:val="true"/>
          <w:cantSplit/>
        </w:trPr>
        <w:tc>
          <w:tcPr>
            <w:tcW w:type="dxa" w:w="4896"/>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8"/>
              </w:rPr>
              <w:t>Measure</w:t>
            </w:r>
          </w:p>
        </w:tc>
        <w:tc>
          <w:tcPr>
            <w:tcW w:type="dxa" w:w="4896"/>
            <w:shd w:fill="17365D"/>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8"/>
              </w:rPr>
              <w:t>Definition</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Assessment coverage</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Percentage of eligible facilities and departments with an active or completed assessment in the defined period.</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Assessment completion</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Percentage of active assessments completed with all required checkpoint responses.</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Data quality</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Rate of validation errors, duplicate submissions, missing mappings and formula failures.</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Gap response</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Percentage of identified gaps with an approved action plan and assigned owner.</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Gap closure</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Percentage of gaps closed with accepted evidence; median time to closure; overdue rate.</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Quality improvement</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Change between original and revised scores, while preserving both values and context.</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Performance reporting</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Monthly KPI and Outcome submission and completion percentage by facility and district.</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Certification oversight</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Percentage of certifications current, expiring, expired, conditional or pending renewal.</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Data portability</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Successful export of documented non-PII datasets and successful import/use by another system.</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Reuse</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Number of independently deployable configurations, jurisdictions or frameworks using the shared core.</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Security and privacy</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Time to remediate vulnerabilities, access-review completion, incident metrics and privacy-control verification.</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6"/>
              </w:rPr>
              <w:t>Accessibility</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6"/>
              </w:rPr>
              <w:t>Conformance testing results and completion of key workflows by keyboard and assistive technologies.</w:t>
            </w:r>
          </w:p>
        </w:tc>
      </w:tr>
    </w:tbl>
    <w:p>
      <w:pPr>
        <w:pStyle w:val="Heading1"/>
        <w:spacing w:before="160" w:after="100" w:line="259" w:lineRule="auto"/>
      </w:pPr>
      <w:r>
        <w:rPr>
          <w:rFonts w:ascii="Noto Sans" w:hAnsi="Noto Sans" w:cs="Noto Sans"/>
          <w:b/>
          <w:color w:val="17365D"/>
          <w:sz w:val="30"/>
        </w:rPr>
        <w:t>Appendix A. Glossary</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4896"/>
        <w:gridCol w:w="4896"/>
      </w:tblGrid>
      <w:tr>
        <w:trPr>
          <w:tblHeader w:val="true"/>
          <w:cantSplit/>
        </w:trPr>
        <w:tc>
          <w:tcPr>
            <w:tcW w:type="dxa" w:w="4896"/>
            <w:shd w:fill="0F6B7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8"/>
              </w:rPr>
              <w:t>Term</w:t>
            </w:r>
          </w:p>
        </w:tc>
        <w:tc>
          <w:tcPr>
            <w:tcW w:type="dxa" w:w="4896"/>
            <w:shd w:fill="0F6B78"/>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FFFFFF"/>
                <w:sz w:val="18"/>
              </w:rPr>
              <w:t>Definition</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Action Plan</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A time-bound corrective action linked to an identified quality gap, responsible owner and target date.</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Assessment Period</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The defined time window or cycle for a facility quality assessment.</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CQI</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Continuous Quality Improvement; the cycle of identifying gaps, implementing actions, verifying closure and measuring improvement.</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DPG</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Digital Public Good; an open digital solution that meets the DPG Standard and is relevant to the Sustainable Development Goals.</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Framework</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A structured set of facility types, departments, concerns, standards, measurable elements, checkpoints, methods and scoring rules.</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Gap</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A non-compliant or partially compliant finding requiring corrective action.</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KPI</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Key Performance Indicator used for periodic operational performance monitoring.</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LaQshya</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A healthcare quality-improvement framework focused on labour room and maternity operation theatre quality.</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MusQan</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A healthcare quality framework focused on child-friendly services and paediatric care quality.</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NQAS</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National Quality Assurance Standards for public healthcare facilities in India.</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Non-PII</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Data that does not identify or reasonably allow identification of an individual.</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Outcome Indicator</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A metric representing a service or health outcome, often calculated from configured numerator and denominator values.</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RBAC</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Role-Based Access Control; permissions granted according to user role and assigned organisational scope.</w:t>
            </w:r>
          </w:p>
        </w:tc>
      </w:tr>
      <w:tr>
        <w:trPr>
          <w:cantSplit/>
        </w:trPr>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color w:val="404040"/>
                <w:sz w:val="17"/>
              </w:rPr>
              <w:t>Revised Score</w:t>
            </w:r>
          </w:p>
        </w:tc>
        <w:tc>
          <w:tcPr>
            <w:tcW w:type="dxa" w:w="4896"/>
            <w:vAlign w:val="center"/>
            <w:tcMar>
              <w:top w:w="90" w:type="dxa"/>
              <w:start w:w="100" w:type="dxa"/>
              <w:bottom w:w="90" w:type="dxa"/>
              <w:end w:w="100" w:type="dxa"/>
            </w:tcMar>
            <w:tcBorders>
              <w:top w:val="single" w:sz="4" w:space="0" w:color="B7C9D6"/>
              <w:start w:val="single" w:sz="4" w:space="0" w:color="B7C9D6"/>
              <w:bottom w:val="single" w:sz="4" w:space="0" w:color="B7C9D6"/>
              <w:end w:val="single" w:sz="4" w:space="0" w:color="B7C9D6"/>
            </w:tcBorders>
          </w:tcPr>
          <w:p>
            <w:pPr>
              <w:spacing w:before="0" w:after="0" w:line="240" w:lineRule="auto"/>
            </w:pPr>
            <w:r/>
            <w:r>
              <w:rPr>
                <w:rFonts w:ascii="Noto Sans" w:hAnsi="Noto Sans" w:cs="Noto Sans"/>
                <w:b w:val="0"/>
                <w:color w:val="404040"/>
                <w:sz w:val="17"/>
              </w:rPr>
              <w:t>The improved compliance value recorded after verified gap closure while preserving the original assessment score.</w:t>
            </w:r>
          </w:p>
        </w:tc>
      </w:tr>
    </w:tbl>
    <w:p>
      <w:pPr>
        <w:pStyle w:val="Heading1"/>
        <w:spacing w:before="160" w:after="100" w:line="259" w:lineRule="auto"/>
      </w:pPr>
      <w:r>
        <w:rPr>
          <w:rFonts w:ascii="Noto Sans" w:hAnsi="Noto Sans" w:cs="Noto Sans"/>
          <w:b/>
          <w:color w:val="17365D"/>
          <w:sz w:val="30"/>
        </w:rPr>
        <w:t>Appendix B. References</w:t>
      </w:r>
    </w:p>
    <w:p>
      <w:pPr>
        <w:spacing w:before="0" w:after="20" w:line="259" w:lineRule="auto"/>
      </w:pPr>
      <w:r>
        <w:rPr>
          <w:rFonts w:ascii="Noto Sans" w:hAnsi="Noto Sans" w:cs="Noto Sans"/>
          <w:b/>
          <w:color w:val="17365D"/>
          <w:sz w:val="18"/>
        </w:rPr>
        <w:t>Digital Public Goods Alliance, “Digital Public Goods Standard”</w:t>
      </w:r>
    </w:p>
    <w:p>
      <w:pPr>
        <w:spacing w:before="0" w:after="20" w:line="259" w:lineRule="auto"/>
      </w:pPr>
      <w:r>
        <w:rPr>
          <w:rFonts w:ascii="Noto Sans" w:hAnsi="Noto Sans" w:cs="Noto Sans"/>
          <w:color w:val="1F4E78"/>
          <w:sz w:val="17"/>
        </w:rPr>
        <w:t>https://www.digitalpublicgoods.net/standard</w:t>
      </w:r>
    </w:p>
    <w:p>
      <w:pPr>
        <w:spacing w:before="0" w:after="100" w:line="259" w:lineRule="auto"/>
      </w:pPr>
      <w:r>
        <w:rPr>
          <w:rFonts w:ascii="Noto Sans" w:hAnsi="Noto Sans" w:cs="Noto Sans"/>
          <w:color w:val="404040"/>
          <w:sz w:val="17"/>
        </w:rPr>
        <w:t>Defines the current DPG indicators and baseline requirements.</w:t>
      </w:r>
    </w:p>
    <w:p>
      <w:pPr>
        <w:spacing w:before="0" w:after="20" w:line="259" w:lineRule="auto"/>
      </w:pPr>
      <w:r>
        <w:rPr>
          <w:rFonts w:ascii="Noto Sans" w:hAnsi="Noto Sans" w:cs="Noto Sans"/>
          <w:b/>
          <w:color w:val="17365D"/>
          <w:sz w:val="18"/>
        </w:rPr>
        <w:t>Digital Public Goods Alliance, “Strengthened Privacy and Data Security Framework for the DPG Standard” (11 September 2025)</w:t>
      </w:r>
    </w:p>
    <w:p>
      <w:pPr>
        <w:spacing w:before="0" w:after="20" w:line="259" w:lineRule="auto"/>
      </w:pPr>
      <w:r>
        <w:rPr>
          <w:rFonts w:ascii="Noto Sans" w:hAnsi="Noto Sans" w:cs="Noto Sans"/>
          <w:color w:val="1F4E78"/>
          <w:sz w:val="17"/>
        </w:rPr>
        <w:t>https://www.digitalpublicgoods.net/blog/privacy-and-data-security-framework-for-dpg-standard</w:t>
      </w:r>
    </w:p>
    <w:p>
      <w:pPr>
        <w:spacing w:before="0" w:after="100" w:line="259" w:lineRule="auto"/>
      </w:pPr>
      <w:r>
        <w:rPr>
          <w:rFonts w:ascii="Noto Sans" w:hAnsi="Noto Sans" w:cs="Noto Sans"/>
          <w:color w:val="404040"/>
          <w:sz w:val="17"/>
        </w:rPr>
        <w:t>Explains enhanced privacy and data-security requirements under Indicators 7 and 9A.</w:t>
      </w:r>
    </w:p>
    <w:p>
      <w:pPr>
        <w:spacing w:before="0" w:after="20" w:line="259" w:lineRule="auto"/>
      </w:pPr>
      <w:r>
        <w:rPr>
          <w:rFonts w:ascii="Noto Sans" w:hAnsi="Noto Sans" w:cs="Noto Sans"/>
          <w:b/>
          <w:color w:val="17365D"/>
          <w:sz w:val="18"/>
        </w:rPr>
        <w:t>Digital Public Goods Alliance, “DPG Registry”</w:t>
      </w:r>
    </w:p>
    <w:p>
      <w:pPr>
        <w:spacing w:before="0" w:after="20" w:line="259" w:lineRule="auto"/>
      </w:pPr>
      <w:r>
        <w:rPr>
          <w:rFonts w:ascii="Noto Sans" w:hAnsi="Noto Sans" w:cs="Noto Sans"/>
          <w:color w:val="1F4E78"/>
          <w:sz w:val="17"/>
        </w:rPr>
        <w:t>https://www.digitalpublicgoods.net/registry</w:t>
      </w:r>
    </w:p>
    <w:p>
      <w:pPr>
        <w:spacing w:before="0" w:after="100" w:line="259" w:lineRule="auto"/>
      </w:pPr>
      <w:r>
        <w:rPr>
          <w:rFonts w:ascii="Noto Sans" w:hAnsi="Noto Sans" w:cs="Noto Sans"/>
          <w:color w:val="404040"/>
          <w:sz w:val="17"/>
        </w:rPr>
        <w:t>Official registry of recognised Digital Public Goods.</w:t>
      </w:r>
    </w:p>
    <w:tbl>
      <w:tblPr>
        <w:tblW w:type="dxa" w:w="9792"/>
        <w:tblLayout w:type="fixed"/>
        <w:tblLook w:firstColumn="1" w:firstRow="1" w:lastColumn="0" w:lastRow="0" w:noHBand="0" w:noVBand="1" w:val="04A0"/>
        <w:jc w:val="center"/>
        <w:tblInd w:type="dxa" w:w="0"/>
        <w:tblCellMar>
          <w:top w:w="50" w:type="dxa"/>
          <w:left w:w="80" w:type="dxa"/>
          <w:bottom w:w="50" w:type="dxa"/>
          <w:right w:w="80" w:type="dxa"/>
        </w:tblCellMar>
      </w:tblPr>
      <w:tblGrid>
        <w:gridCol w:w="9792"/>
      </w:tblGrid>
      <w:tr>
        <w:trPr>
          <w:cantSplit/>
        </w:trPr>
        <w:tc>
          <w:tcPr>
            <w:tcW w:type="dxa" w:w="9792"/>
            <w:shd w:fill="E2F0D9"/>
            <w:tcBorders>
              <w:top w:val="single" w:sz="8" w:color="3B7A57"/>
              <w:start w:val="single" w:sz="8" w:color="3B7A57"/>
              <w:bottom w:val="single" w:sz="4" w:color="3B7A57"/>
              <w:end w:val="single" w:sz="4" w:color="3B7A57"/>
            </w:tcBorders>
            <w:tcMar>
              <w:top w:w="120" w:type="dxa"/>
              <w:start w:w="150" w:type="dxa"/>
              <w:bottom w:w="120" w:type="dxa"/>
              <w:end w:w="150" w:type="dxa"/>
            </w:tcMar>
          </w:tcPr>
          <w:p>
            <w:pPr>
              <w:spacing w:before="0" w:after="40" w:line="259" w:lineRule="auto"/>
            </w:pPr>
            <w:r>
              <w:rPr>
                <w:rFonts w:ascii="Noto Sans" w:hAnsi="Noto Sans" w:cs="Noto Sans"/>
                <w:b/>
                <w:color w:val="17365D"/>
                <w:sz w:val="19"/>
              </w:rPr>
              <w:t>Final review before DPG submission</w:t>
            </w:r>
          </w:p>
          <w:p>
            <w:pPr>
              <w:spacing w:before="0" w:after="0" w:line="259" w:lineRule="auto"/>
            </w:pPr>
            <w:r>
              <w:rPr>
                <w:rFonts w:ascii="Noto Sans" w:hAnsi="Noto Sans" w:cs="Noto Sans"/>
                <w:color w:val="404040"/>
                <w:sz w:val="18"/>
              </w:rPr>
              <w:t>Update the document version, ownership, repository links, licence status, evidence status and validated implementation examples. Confirm that every public claim is supported by a stable URL or repository artefact.</w:t>
            </w:r>
          </w:p>
        </w:tc>
      </w:tr>
    </w:tbl>
    <w:p>
      <w:pPr>
        <w:spacing w:after="0"/>
      </w:pPr>
    </w:p>
    <w:sectPr w:rsidR="00FC693F" w:rsidRPr="0006063C" w:rsidSect="00034616">
      <w:headerReference w:type="default" r:id="rId9"/>
      <w:footerReference w:type="default" r:id="rId10"/>
      <w:pgSz w:w="12240" w:h="15840"/>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Noto Sans" w:hAnsi="Noto Sans" w:cs="Noto Sans"/>
        <w:color w:val="6B7C87"/>
        <w:sz w:val="16"/>
      </w:rPr>
      <w:t xml:space="preserve">SaQshi - Open Digital Platform for Healthcare Quality Improvement   |   Page </w:t>
    </w:r>
    <w:r>
      <w:rPr>
        <w:rFonts w:ascii="Noto Sans" w:hAnsi="Noto Sans" w:cs="Noto Sans"/>
        <w:color w:val="6B7C87"/>
        <w:sz w:val="16"/>
      </w:rPr>
      <w:fldChar w:fldCharType="begin"/>
      <w:instrText xml:space="preserve">PAGE</w:instrText>
      <w:fldChar w:fldCharType="end"/>
    </w:r>
    <w:r>
      <w:rPr>
        <w:rFonts w:ascii="Noto Sans" w:hAnsi="Noto Sans" w:cs="Noto Sans"/>
        <w:color w:val="6B7C87"/>
        <w:sz w:val="16"/>
      </w:rPr>
      <w:t xml:space="preserve"> of </w:t>
    </w:r>
    <w:r>
      <w:rPr>
        <w:rFonts w:ascii="Noto Sans" w:hAnsi="Noto Sans" w:cs="Noto Sans"/>
        <w:color w:val="6B7C87"/>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right"/>
    </w:pPr>
    <w:r>
      <w:rPr>
        <w:rFonts w:ascii="Noto Sans" w:hAnsi="Noto Sans" w:cs="Noto Sans"/>
        <w:color w:val="6B7C87"/>
        <w:sz w:val="16"/>
      </w:rPr>
      <w:t>SaQshi DPG Documentation | Use Cases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3B7A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0F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SaQshi Use Cases for Digital Public Good (DPG) Documentation</dc:title>
  <dc:subject>SaQshi product use cases and DPG readiness mapping</dc:subject>
  <dc:creator>SaQshi Project Team</dc:creator>
  <cp:keywords>SaQshi, DPG, Digital Public Good, healthcare quality, NQAS, MusQan, LaQshya, CQI</cp:keywords>
  <dc:description>Draft for DPG readiness review. Verify all implementation-specific claims before public submission.</dc:description>
  <cp:lastModifiedBy/>
  <cp:revision>1</cp:revision>
  <dcterms:created xsi:type="dcterms:W3CDTF">2013-12-23T23:15:00Z</dcterms:created>
  <dcterms:modified xsi:type="dcterms:W3CDTF">2013-12-23T23:15:00Z</dcterms:modified>
  <cp:category/>
  <cp:version>1.1</cp:version>
</cp:coreProperties>
</file>