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rFonts w:ascii="Archivo" w:hAnsi="Archivo"/>
          <w:b/>
          <w:sz w:val="40"/>
          <w:szCs w:val="40"/>
          <w:color w:val="1A1414"/>
        </w:rPr>
        <w:t xml:space="preserve">STATEMENT OF WORK</w:t>
      </w:r>
    </w:p>
    <w:p>
      <w:pPr>
        <w:spacing w:before="0" w:after="320"/>
      </w:pPr>
      <w:r>
        <w:rPr>
          <w:rFonts w:ascii="Archivo" w:hAnsi="Archivo"/>
          <w:sz w:val="18"/>
          <w:szCs w:val="18"/>
          <w:color w:val="67594B"/>
        </w:rPr>
        <w:t xml:space="preserve">SOW </w:t>
      </w:r>
      <w:r>
        <w:rPr>
          <w:rFonts w:ascii="Archivo" w:hAnsi="Archivo"/>
          <w:sz w:val="18"/>
          <w:szCs w:val="18"/>
          <w:color w:val="F25E45"/>
        </w:rPr>
        <w:t xml:space="preserve">{{sowNo}}</w:t>
      </w:r>
      <w:r>
        <w:rPr>
          <w:rFonts w:ascii="Archivo" w:hAnsi="Archivo"/>
          <w:sz w:val="18"/>
          <w:szCs w:val="18"/>
          <w:color w:val="67594B"/>
        </w:rPr>
        <w:t xml:space="preserve">   ·   Revision </w:t>
      </w:r>
      <w:r>
        <w:rPr>
          <w:rFonts w:ascii="Archivo" w:hAnsi="Archivo"/>
          <w:sz w:val="18"/>
          <w:szCs w:val="18"/>
          <w:color w:val="F25E45"/>
        </w:rPr>
        <w:t xml:space="preserve">{{revision}}</w:t>
      </w:r>
      <w:r>
        <w:rPr>
          <w:rFonts w:ascii="Archivo" w:hAnsi="Archivo"/>
          <w:sz w:val="18"/>
          <w:szCs w:val="18"/>
          <w:color w:val="67594B"/>
        </w:rPr>
        <w:t xml:space="preserve">   ·   </w:t>
      </w:r>
      <w:r>
        <w:rPr>
          <w:rFonts w:ascii="Archivo" w:hAnsi="Archivo"/>
          <w:sz w:val="18"/>
          <w:szCs w:val="18"/>
          <w:color w:val="67594B"/>
        </w:rPr>
        <w:t xml:space="preserve">{{sowDate}}</w:t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This Statement of Work is issued under the Master Services Agreement between the parties dated </w:t>
      </w:r>
      <w:r>
        <w:rPr>
          <w:rFonts w:ascii="Archivo" w:hAnsi="Archivo"/>
          <w:b/>
          <w:sz w:val="20"/>
          <w:szCs w:val="20"/>
        </w:rPr>
        <w:t xml:space="preserve">{{msaDate}}</w:t>
      </w:r>
      <w:r>
        <w:rPr>
          <w:rFonts w:ascii="Archivo" w:hAnsi="Archivo"/>
          <w:sz w:val="20"/>
          <w:szCs w:val="20"/>
        </w:rPr>
        <w:t xml:space="preserve"> and is governed by its terms. Where this document and the Agreement conflict, the Agreement prevails.</w:t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1.  Parties and contacts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SUPPLIER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CLIENT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22"/>
                <w:szCs w:val="22"/>
                <w:color w:val="1A1414"/>
              </w:rPr>
              <w:t xml:space="preserve">{{supplier.name}}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22"/>
                <w:szCs w:val="22"/>
                <w:color w:val="1A1414"/>
              </w:rPr>
              <w:t xml:space="preserve">{{client.name}}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{{supplier.contact}}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{{client.contact}}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{{supplier.email}}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{{client.email}}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2.  Objectives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{{#objectives}}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{{/objectives}}</w:t>
      </w:r>
    </w:p>
    <w:p>
      <w:pPr>
        <w:spacing w:before="0" w:after="18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3.  Deliverables</w:t>
      </w:r>
    </w:p>
    <w:p>
      <w:pPr>
        <w:spacing w:before="0" w:after="140"/>
      </w:pPr>
      <w:r>
        <w:rPr>
          <w:rFonts w:ascii="Archivo" w:hAnsi="Archivo"/>
          <w:sz w:val="19"/>
          <w:szCs w:val="19"/>
          <w:color w:val="67594B"/>
        </w:rPr>
        <w:t xml:space="preserve">Due dates are expressed as offsets: </w:t>
      </w:r>
      <w:r>
        <w:rPr>
          <w:rFonts w:ascii="Archivo" w:hAnsi="Archivo"/>
          <w:b/>
          <w:sz w:val="19"/>
          <w:szCs w:val="19"/>
        </w:rPr>
        <w:t xml:space="preserve">CD</w:t>
      </w:r>
      <w:r>
        <w:rPr>
          <w:rFonts w:ascii="Archivo" w:hAnsi="Archivo"/>
          <w:sz w:val="19"/>
          <w:szCs w:val="19"/>
          <w:color w:val="67594B"/>
        </w:rPr>
        <w:t xml:space="preserve"> calendar days, </w:t>
      </w:r>
      <w:r>
        <w:rPr>
          <w:rFonts w:ascii="Archivo" w:hAnsi="Archivo"/>
          <w:b/>
          <w:sz w:val="19"/>
          <w:szCs w:val="19"/>
        </w:rPr>
        <w:t xml:space="preserve">WD</w:t>
      </w:r>
      <w:r>
        <w:rPr>
          <w:rFonts w:ascii="Archivo" w:hAnsi="Archivo"/>
          <w:sz w:val="19"/>
          <w:szCs w:val="19"/>
          <w:color w:val="67594B"/>
        </w:rPr>
        <w:t xml:space="preserve"> workdays, </w:t>
      </w:r>
      <w:r>
        <w:rPr>
          <w:rFonts w:ascii="Archivo" w:hAnsi="Archivo"/>
          <w:b/>
          <w:sz w:val="19"/>
          <w:szCs w:val="19"/>
        </w:rPr>
        <w:t xml:space="preserve">ARC</w:t>
      </w:r>
      <w:r>
        <w:rPr>
          <w:rFonts w:ascii="Archivo" w:hAnsi="Archivo"/>
          <w:sz w:val="19"/>
          <w:szCs w:val="19"/>
          <w:color w:val="67594B"/>
        </w:rPr>
        <w:t xml:space="preserve"> after receipt of comments, </w:t>
      </w:r>
      <w:r>
        <w:rPr>
          <w:rFonts w:ascii="Archivo" w:hAnsi="Archivo"/>
          <w:b/>
          <w:sz w:val="19"/>
          <w:szCs w:val="19"/>
        </w:rPr>
        <w:t xml:space="preserve">DD</w:t>
      </w:r>
      <w:r>
        <w:rPr>
          <w:rFonts w:ascii="Archivo" w:hAnsi="Archivo"/>
          <w:sz w:val="19"/>
          <w:szCs w:val="19"/>
          <w:color w:val="67594B"/>
        </w:rPr>
        <w:t xml:space="preserve"> from the task-order date.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700"/>
        <w:gridCol w:w="3400"/>
        <w:gridCol w:w="1500"/>
        <w:gridCol w:w="1400"/>
        <w:gridCol w:w="2000"/>
      </w:tblGrid>
      <w:tr>
        <w:trPr>
          <w:tblHeader/>
        </w:trPr>
        <w:tc>
          <w:tcPr>
            <w:tcW w:w="7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ID</w:t>
            </w:r>
          </w:p>
        </w:tc>
        <w:tc>
          <w:tcPr>
            <w:tcW w:w="3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Deliverable</w:t>
            </w:r>
          </w:p>
        </w:tc>
        <w:tc>
          <w:tcPr>
            <w:tcW w:w="15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Format</w:t>
            </w:r>
          </w:p>
        </w:tc>
        <w:tc>
          <w:tcPr>
            <w:tcW w:w="1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Due</w:t>
            </w:r>
          </w:p>
        </w:tc>
        <w:tc>
          <w:tcPr>
            <w:tcW w:w="20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Acceptance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{{#deliverables}}</w:t>
            </w: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{{id}}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{{name}}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{{format}}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</w:rPr>
              <w:t xml:space="preserve">{{due}}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{{acceptance}}</w:t>
            </w:r>
            <w:r>
              <w:rPr>
                <w:rFonts w:ascii="Archivo" w:hAnsi="Archivo"/>
              </w:rPr>
              <w:t xml:space="preserve">{{/deliverables}}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4.  Milestones and payment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3200"/>
        <w:gridCol w:w="1600"/>
        <w:gridCol w:w="2800"/>
        <w:gridCol w:w="1400"/>
      </w:tblGrid>
      <w:tr>
        <w:trPr>
          <w:tblHeader/>
        </w:trPr>
        <w:tc>
          <w:tcPr>
            <w:tcW w:w="3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Milestone</w:t>
            </w:r>
          </w:p>
        </w:tc>
        <w:tc>
          <w:tcPr>
            <w:tcW w:w="1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Completion</w:t>
            </w:r>
          </w:p>
        </w:tc>
        <w:tc>
          <w:tcPr>
            <w:tcW w:w="28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Trigger</w:t>
            </w:r>
          </w:p>
        </w:tc>
        <w:tc>
          <w:tcPr>
            <w:tcW w:w="1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Amount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{{#milestones}}</w:t>
            </w: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{{name}}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{{completion}}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{{trigger}}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</w:rPr>
              <w:t xml:space="preserve">{{amount}}</w:t>
            </w:r>
            <w:r>
              <w:rPr>
                <w:rFonts w:ascii="Archivo" w:hAnsi="Archivo"/>
              </w:rPr>
              <w:t xml:space="preserve">{{/milestones}}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5.  Assumptions</w:t>
      </w:r>
    </w:p>
    <w:p>
      <w:pPr>
        <w:spacing w:before="0" w:after="100"/>
      </w:pPr>
      <w:r>
        <w:rPr>
          <w:rFonts w:ascii="Archivo" w:hAnsi="Archivo"/>
          <w:sz w:val="20"/>
          <w:szCs w:val="20"/>
        </w:rPr>
        <w:t xml:space="preserve">This Statement of Work is priced on the assumptions below. If any proves incorrect, the change-control process in clause 8 applies.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{{#assumptions}}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{{/assumptions}}</w:t>
      </w:r>
    </w:p>
    <w:p>
      <w:pPr>
        <w:spacing w:before="0" w:after="18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6.  Client responsibilities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600"/>
        <w:gridCol w:w="4600"/>
        <w:gridCol w:w="2000"/>
        <w:gridCol w:w="1800"/>
      </w:tblGrid>
      <w:tr>
        <w:trPr>
          <w:tblHeader/>
        </w:trPr>
        <w:tc>
          <w:tcPr>
            <w:tcW w:w="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#</w:t>
            </w:r>
          </w:p>
        </w:tc>
        <w:tc>
          <w:tcPr>
            <w:tcW w:w="4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Responsibility</w:t>
            </w:r>
          </w:p>
        </w:tc>
        <w:tc>
          <w:tcPr>
            <w:tcW w:w="20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Owner</w:t>
            </w:r>
          </w:p>
        </w:tc>
        <w:tc>
          <w:tcPr>
            <w:tcW w:w="18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Required by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{{#clientObligations}}</w:t>
            </w: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{{ref}}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{{label}}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{{owner}}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{{requiredBy}}</w:t>
            </w:r>
            <w:r>
              <w:rPr>
                <w:rFonts w:ascii="Archivo" w:hAnsi="Archivo"/>
              </w:rPr>
              <w:t xml:space="preserve">{{/clientObligations}}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7.  Acceptance</w:t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The Client will review each deliverable within </w:t>
      </w:r>
      <w:r>
        <w:rPr>
          <w:rFonts w:ascii="Archivo" w:hAnsi="Archivo"/>
          <w:b/>
          <w:sz w:val="20"/>
          <w:szCs w:val="20"/>
        </w:rPr>
        <w:t xml:space="preserve">{{acceptanceDays}}</w:t>
      </w:r>
      <w:r>
        <w:rPr>
          <w:rFonts w:ascii="Archivo" w:hAnsi="Archivo"/>
          <w:sz w:val="20"/>
          <w:szCs w:val="20"/>
        </w:rPr>
        <w:t xml:space="preserve"> business days and either accept it or provide written detail of any deficiency. A deliverable not rejected within that period is deemed accepted.</w:t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8.  Change control</w:t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Any change to scope, schedule or price takes effect only when a written change order is signed by both parties.</w:t>
      </w:r>
    </w:p>
    <w:p>
      <w:pPr>
        <w:spacing w:before="0" w:after="240"/>
      </w:pPr>
      <w:r>
        <w:rPr>
          <w:rFonts w:ascii="Archivo" w:hAnsi="Archivo"/>
        </w:rPr>
        <w:t xml:space="preserve">{{#isTimeAndMaterials}}</w:t>
      </w:r>
      <w:r>
        <w:rPr>
          <w:rFonts w:ascii="Archivo" w:hAnsi="Archivo"/>
          <w:sz w:val="20"/>
          <w:szCs w:val="20"/>
        </w:rPr>
        <w:t xml:space="preserve">Amounts stated for time-and-materials work are estimates, not a fixed price. The Supplier will notify the Client on reaching 80% of the not-to-exceed amount of </w:t>
      </w:r>
      <w:r>
        <w:rPr>
          <w:rFonts w:ascii="Archivo" w:hAnsi="Archivo"/>
          <w:b/>
          <w:sz w:val="20"/>
          <w:szCs w:val="20"/>
        </w:rPr>
        <w:t xml:space="preserve">{{notToExceed}}</w:t>
      </w:r>
      <w:r>
        <w:rPr>
          <w:rFonts w:ascii="Archivo" w:hAnsi="Archivo"/>
          <w:sz w:val="20"/>
          <w:szCs w:val="20"/>
        </w:rPr>
        <w:t xml:space="preserve">.</w:t>
      </w:r>
      <w:r>
        <w:rPr>
          <w:rFonts w:ascii="Archivo" w:hAnsi="Archivo"/>
        </w:rPr>
        <w:t xml:space="preserve">{{/isTimeAndMaterials}}</w:t>
      </w:r>
    </w:p>
    <w:p>
      <w:pPr>
        <w:spacing w:before="240" w:after="200"/>
      </w:pPr>
      <w:r>
        <w:rPr>
          <w:rFonts w:ascii="Archivo" w:hAnsi="Archivo"/>
          <w:b/>
          <w:sz w:val="26"/>
          <w:szCs w:val="26"/>
          <w:color w:val="1A1414"/>
        </w:rPr>
        <w:t xml:space="preserve">Signatures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20"/>
                <w:szCs w:val="20"/>
                <w:color w:val="67594B"/>
              </w:rPr>
              <w:t xml:space="preserve">_______________________________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20"/>
                <w:szCs w:val="20"/>
                <w:color w:val="67594B"/>
              </w:rPr>
              <w:t xml:space="preserve">_______________________________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{{supplier.signatory}}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{{client.signatory}}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7"/>
                <w:szCs w:val="17"/>
                <w:color w:val="67594B"/>
              </w:rPr>
              <w:t xml:space="preserve">for {{supplier.name}}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7"/>
                <w:szCs w:val="17"/>
                <w:color w:val="67594B"/>
              </w:rPr>
              <w:t xml:space="preserve">for {{client.name}}</w:t>
            </w:r>
          </w:p>
        </w:tc>
      </w:tr>
    </w:tbl>
    <w:sectPr>
      <w:pgSz w:w="11906" w:h="16838"/>
      <w:pgMar w:top="1417" w:right="1274" w:bottom="1417" w:left="127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chivo" w:hAnsi="Archivo" w:eastAsia="Archivo" w:cs="Archivo"/>
        <w:sz w:val="20"/>
        <w:szCs w:val="20"/>
        <w:color w:val="1A141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Nutrient Office Templating 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Statement of Work Template</dc:title>
  <dc:creator>Nutrient Office Templating Demo</dc:creator>
  <cp:lastModifiedBy>Nutrient Office Templating Demo</cp:lastModifiedBy>
</cp:coreProperties>
</file>