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right"/>
      </w:pPr>
      <w:r>
        <w:rPr>
          <w:rFonts w:ascii="Arial" w:hAnsi="Arial" w:eastAsia="Arial"/>
          <w:b/>
          <w:color w:val="586370"/>
          <w:sz w:val="19"/>
        </w:rPr>
        <w:t>Northstar Retail Group</w:t>
      </w:r>
    </w:p>
    <w:p>
      <w:pPr>
        <w:spacing w:before="0" w:after="40" w:line="240" w:lineRule="auto"/>
      </w:pPr>
      <w:r>
        <w:rPr>
          <w:rFonts w:ascii="Arial" w:hAnsi="Arial" w:eastAsia="Arial"/>
          <w:b/>
          <w:color w:val="1A4D70"/>
          <w:sz w:val="44"/>
        </w:rPr>
        <w:t>72-Hour Personal Data Breach Response</w:t>
      </w:r>
    </w:p>
    <w:p>
      <w:pPr>
        <w:spacing w:before="0" w:after="180" w:line="240" w:lineRule="auto"/>
      </w:pPr>
      <w:r>
        <w:rPr>
          <w:rFonts w:ascii="Arial" w:hAnsi="Arial" w:eastAsia="Arial"/>
          <w:color w:val="586370"/>
          <w:sz w:val="18"/>
        </w:rPr>
        <w:t>Draft quick guide | Owner: Privacy Lead | Updated May 2026</w:t>
      </w:r>
    </w:p>
    <w:tbl>
      <w:tblPr>
        <w:tblW w:type="dxa" w:w="9850"/>
        <w:tblLayout w:type="fixed"/>
        <w:tblLook w:firstColumn="1" w:firstRow="1" w:lastColumn="0" w:lastRow="0" w:noHBand="0" w:noVBand="1" w:val="04A0"/>
        <w:tblBorders>
          <w:top w:val="single" w:sz="4" w:space="0" w:color="8BB8C2"/>
          <w:left w:val="single" w:sz="4" w:space="0" w:color="8BB8C2"/>
          <w:bottom w:val="single" w:sz="4" w:space="0" w:color="8BB8C2"/>
          <w:right w:val="single" w:sz="4" w:space="0" w:color="8BB8C2"/>
          <w:insideH w:val="single" w:sz="4" w:space="0" w:color="8BB8C2"/>
          <w:insideV w:val="single" w:sz="4" w:space="0" w:color="8BB8C2"/>
        </w:tblBorders>
      </w:tblPr>
      <w:tblGrid>
        <w:gridCol w:w="9850"/>
      </w:tblGrid>
      <w:tr>
        <w:tc>
          <w:tcPr>
            <w:tcW w:type="dxa" w:w="9850"/>
            <w:vAlign w:val="top"/>
            <w:tcMar>
              <w:top w:w="110" w:type="dxa"/>
              <w:start w:w="150" w:type="dxa"/>
              <w:bottom w:w="110" w:type="dxa"/>
              <w:end w:w="150" w:type="dxa"/>
            </w:tcMar>
            <w:shd w:fill="EAF4F6"/>
          </w:tcPr>
          <w:p>
            <w:pPr>
              <w:spacing w:before="0" w:after="0" w:line="252" w:lineRule="auto"/>
            </w:pPr>
            <w:r>
              <w:rPr>
                <w:rFonts w:ascii="Arial" w:hAnsi="Arial" w:eastAsia="Arial"/>
                <w:b/>
                <w:color w:val="1A202C"/>
                <w:sz w:val="19"/>
              </w:rPr>
              <w:t>When a suspected breach is discovered, start the 72-hour clock, record what is known, contain the issue, and decide whether external reporting is required. Do not wait for perfect information before escalating.</w:t>
            </w:r>
          </w:p>
        </w:tc>
      </w:tr>
    </w:tbl>
    <w:p>
      <w:pPr>
        <w:pStyle w:val="Heading1"/>
        <w:spacing w:before="160" w:after="80" w:line="240" w:lineRule="auto"/>
      </w:pPr>
      <w:r>
        <w:rPr>
          <w:rFonts w:ascii="Arial" w:hAnsi="Arial" w:eastAsia="Arial"/>
          <w:b/>
          <w:color w:val="006070"/>
          <w:sz w:val="26"/>
        </w:rPr>
        <w:t>Immediate actions</w:t>
      </w:r>
    </w:p>
    <w:p>
      <w:pPr>
        <w:pStyle w:val="ListBullet"/>
        <w:spacing w:before="0" w:after="40" w:line="247" w:lineRule="auto"/>
      </w:pPr>
      <w:r>
        <w:rPr>
          <w:rFonts w:ascii="Arial" w:hAnsi="Arial" w:eastAsia="Arial"/>
          <w:color w:val="1A202C"/>
          <w:sz w:val="18"/>
        </w:rPr>
        <w:t>Log the incident: Record when it was discovered, what data may be involved, who is affected, and what actions has already been taken.</w:t>
      </w:r>
    </w:p>
    <w:p>
      <w:pPr>
        <w:pStyle w:val="ListBullet"/>
        <w:spacing w:before="0" w:after="40" w:line="247" w:lineRule="auto"/>
      </w:pPr>
      <w:r>
        <w:rPr>
          <w:rFonts w:ascii="Arial" w:hAnsi="Arial" w:eastAsia="Arial"/>
          <w:color w:val="1A202C"/>
          <w:sz w:val="18"/>
        </w:rPr>
        <w:t>Contain the breach: Recover misdirected emails or files, revoke access, reset credentials, remotely wipe lost devices where available, and preserve evidence.</w:t>
      </w:r>
    </w:p>
    <w:p>
      <w:pPr>
        <w:pStyle w:val="ListBullet"/>
        <w:spacing w:before="0" w:after="40" w:line="247" w:lineRule="auto"/>
      </w:pPr>
      <w:r>
        <w:rPr>
          <w:rFonts w:ascii="Arial" w:hAnsi="Arial" w:eastAsia="Arial"/>
          <w:color w:val="1A202C"/>
          <w:sz w:val="18"/>
        </w:rPr>
        <w:t>Assess risk: Consider potential harm to customers, employees, or suppliers, including identity theft, financial loss, distress, or safeguarding concerns.</w:t>
      </w:r>
    </w:p>
    <w:p>
      <w:pPr>
        <w:pStyle w:val="ListBullet"/>
        <w:spacing w:before="0" w:after="40" w:line="247" w:lineRule="auto"/>
      </w:pPr>
      <w:r>
        <w:rPr>
          <w:rFonts w:ascii="Arial" w:hAnsi="Arial" w:eastAsia="Arial"/>
          <w:color w:val="1A202C"/>
          <w:sz w:val="18"/>
        </w:rPr>
        <w:t>Escalate quickly: Security Operations are responsible for technical containment; the Privacy Lead decide whether the ICO or affected individuals must be notified.</w:t>
      </w:r>
    </w:p>
    <w:p>
      <w:pPr>
        <w:pStyle w:val="Heading1"/>
        <w:spacing w:before="160" w:after="80" w:line="240" w:lineRule="auto"/>
      </w:pPr>
      <w:r>
        <w:rPr>
          <w:rFonts w:ascii="Arial" w:hAnsi="Arial" w:eastAsia="Arial"/>
          <w:b/>
          <w:color w:val="006070"/>
          <w:sz w:val="26"/>
        </w:rPr>
        <w:t>Decision table</w:t>
      </w:r>
    </w:p>
    <w:tbl>
      <w:tblPr>
        <w:tblW w:type="dxa" w:w="9850"/>
        <w:tblLayout w:type="fixed"/>
        <w:tblLook w:firstColumn="1" w:firstRow="1" w:lastColumn="0" w:lastRow="0" w:noHBand="0" w:noVBand="1" w:val="04A0"/>
        <w:tblBorders>
          <w:top w:val="single" w:sz="4" w:space="0" w:color="AEBBC4"/>
          <w:left w:val="single" w:sz="4" w:space="0" w:color="AEBBC4"/>
          <w:bottom w:val="single" w:sz="4" w:space="0" w:color="AEBBC4"/>
          <w:right w:val="single" w:sz="4" w:space="0" w:color="AEBBC4"/>
          <w:insideH w:val="single" w:sz="4" w:space="0" w:color="AEBBC4"/>
          <w:insideV w:val="single" w:sz="4" w:space="0" w:color="AEBBC4"/>
        </w:tblBorders>
      </w:tblPr>
      <w:tblGrid>
        <w:gridCol w:w="4700"/>
        <w:gridCol w:w="2900"/>
        <w:gridCol w:w="2250"/>
      </w:tblGrid>
      <w:tr>
        <w:tc>
          <w:tcPr>
            <w:tcW w:type="dxa" w:w="4700"/>
            <w:vAlign w:val="top"/>
            <w:tcMar>
              <w:top w:w="90" w:type="dxa"/>
              <w:start w:w="110" w:type="dxa"/>
              <w:bottom w:w="90" w:type="dxa"/>
              <w:end w:w="110" w:type="dxa"/>
            </w:tcMar>
            <w:shd w:fill="EFF5F7"/>
          </w:tcPr>
          <w:p>
            <w:pPr>
              <w:spacing w:before="0" w:after="0" w:line="240" w:lineRule="auto"/>
            </w:pPr>
            <w:r>
              <w:rPr>
                <w:rFonts w:ascii="Arial" w:hAnsi="Arial" w:eastAsia="Arial"/>
                <w:b/>
                <w:color w:val="1A202C"/>
                <w:sz w:val="17"/>
              </w:rPr>
              <w:t>Question</w:t>
            </w:r>
          </w:p>
        </w:tc>
        <w:tc>
          <w:tcPr>
            <w:tcW w:type="dxa" w:w="2900"/>
            <w:vAlign w:val="top"/>
            <w:tcMar>
              <w:top w:w="90" w:type="dxa"/>
              <w:start w:w="110" w:type="dxa"/>
              <w:bottom w:w="90" w:type="dxa"/>
              <w:end w:w="110" w:type="dxa"/>
            </w:tcMar>
            <w:shd w:fill="EFF5F7"/>
          </w:tcPr>
          <w:p>
            <w:pPr>
              <w:spacing w:before="0" w:after="0" w:line="240" w:lineRule="auto"/>
            </w:pPr>
            <w:r>
              <w:rPr>
                <w:rFonts w:ascii="Arial" w:hAnsi="Arial" w:eastAsia="Arial"/>
                <w:b/>
                <w:color w:val="1A202C"/>
                <w:sz w:val="17"/>
              </w:rPr>
              <w:t>Owner</w:t>
            </w:r>
          </w:p>
        </w:tc>
        <w:tc>
          <w:tcPr>
            <w:tcW w:type="dxa" w:w="2250"/>
            <w:vAlign w:val="top"/>
            <w:tcMar>
              <w:top w:w="90" w:type="dxa"/>
              <w:start w:w="110" w:type="dxa"/>
              <w:bottom w:w="90" w:type="dxa"/>
              <w:end w:w="110" w:type="dxa"/>
            </w:tcMar>
            <w:shd w:fill="EFF5F7"/>
          </w:tcPr>
          <w:p>
            <w:pPr>
              <w:spacing w:before="0" w:after="0" w:line="240" w:lineRule="auto"/>
            </w:pPr>
            <w:r>
              <w:rPr>
                <w:rFonts w:ascii="Arial" w:hAnsi="Arial" w:eastAsia="Arial"/>
                <w:b/>
                <w:color w:val="1A202C"/>
                <w:sz w:val="17"/>
              </w:rPr>
              <w:t>Due</w:t>
            </w:r>
          </w:p>
        </w:tc>
      </w:tr>
      <w:tr>
        <w:tc>
          <w:tcPr>
            <w:tcW w:type="dxa" w:w="47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Can the data be recovered or secured?</w:t>
            </w:r>
          </w:p>
        </w:tc>
        <w:tc>
          <w:tcPr>
            <w:tcW w:type="dxa" w:w="29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Security Operations</w:t>
            </w:r>
          </w:p>
        </w:tc>
        <w:tc>
          <w:tcPr>
            <w:tcW w:type="dxa" w:w="225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Immediately</w:t>
            </w:r>
          </w:p>
        </w:tc>
      </w:tr>
      <w:tr>
        <w:tc>
          <w:tcPr>
            <w:tcW w:type="dxa" w:w="47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Is there likely risk to people?</w:t>
            </w:r>
          </w:p>
        </w:tc>
        <w:tc>
          <w:tcPr>
            <w:tcW w:type="dxa" w:w="29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Privacy Lead</w:t>
            </w:r>
          </w:p>
        </w:tc>
        <w:tc>
          <w:tcPr>
            <w:tcW w:type="dxa" w:w="225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Same day</w:t>
            </w:r>
          </w:p>
        </w:tc>
      </w:tr>
      <w:tr>
        <w:tc>
          <w:tcPr>
            <w:tcW w:type="dxa" w:w="47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Is a report needed?</w:t>
            </w:r>
          </w:p>
        </w:tc>
        <w:tc>
          <w:tcPr>
            <w:tcW w:type="dxa" w:w="290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Privacy + Legal</w:t>
            </w:r>
          </w:p>
        </w:tc>
        <w:tc>
          <w:tcPr>
            <w:tcW w:type="dxa" w:w="2250"/>
            <w:vAlign w:val="top"/>
            <w:tcMar>
              <w:top w:w="90" w:type="dxa"/>
              <w:start w:w="110" w:type="dxa"/>
              <w:bottom w:w="90" w:type="dxa"/>
              <w:end w:w="110" w:type="dxa"/>
            </w:tcMar>
            <w:shd w:fill="FFFFFF"/>
          </w:tcPr>
          <w:p>
            <w:pPr>
              <w:spacing w:before="0" w:after="0" w:line="240" w:lineRule="auto"/>
            </w:pPr>
            <w:r>
              <w:rPr>
                <w:rFonts w:ascii="Arial" w:hAnsi="Arial" w:eastAsia="Arial"/>
                <w:b w:val="0"/>
                <w:color w:val="1A202C"/>
                <w:sz w:val="17"/>
              </w:rPr>
              <w:t>Within 72 hours</w:t>
            </w:r>
          </w:p>
        </w:tc>
      </w:tr>
    </w:tbl>
    <w:p>
      <w:pPr>
        <w:pStyle w:val="Heading1"/>
        <w:spacing w:before="160" w:after="80" w:line="240" w:lineRule="auto"/>
      </w:pPr>
      <w:r>
        <w:rPr>
          <w:rFonts w:ascii="Arial" w:hAnsi="Arial" w:eastAsia="Arial"/>
          <w:b/>
          <w:color w:val="006070"/>
          <w:sz w:val="26"/>
        </w:rPr>
        <w:t>Communication rules</w:t>
      </w:r>
    </w:p>
    <w:p>
      <w:pPr>
        <w:spacing w:before="0" w:after="80" w:line="259" w:lineRule="auto"/>
      </w:pPr>
      <w:r>
        <w:rPr>
          <w:rFonts w:ascii="Arial" w:hAnsi="Arial" w:eastAsia="Arial"/>
          <w:color w:val="1A202C"/>
          <w:sz w:val="19"/>
        </w:rPr>
        <w:t>Use plain language. Messages should explain what happened, what information was involved, what Northstar is doing, and what steps people can take. Customer communications must be reviewed by Legal before it is sent.</w:t>
      </w:r>
    </w:p>
    <w:p>
      <w:pPr>
        <w:spacing w:before="0" w:after="140" w:line="259" w:lineRule="auto"/>
      </w:pPr>
      <w:r>
        <w:rPr>
          <w:rFonts w:ascii="Arial" w:hAnsi="Arial" w:eastAsia="Arial"/>
          <w:color w:val="1A202C"/>
          <w:sz w:val="19"/>
        </w:rPr>
        <w:t>If the investigation is incomplete, provide the best available information and update the record without undue delay when new facts are confirmed.</w:t>
      </w:r>
    </w:p>
    <w:p>
      <w:pPr>
        <w:spacing w:before="80" w:after="0" w:line="240" w:lineRule="auto"/>
      </w:pPr>
      <w:r>
        <w:rPr>
          <w:rFonts w:ascii="Arial" w:hAnsi="Arial" w:eastAsia="Arial"/>
          <w:i/>
          <w:color w:val="586370"/>
          <w:sz w:val="14"/>
        </w:rPr>
        <w:t>Source note: Adapted from the Information Commissioner’s Office, “72 hours - how to respond to a personal data breach”, https://ico.org.uk/for-organisations/advice-for-small-organisations/personal-data-breaches/72-hours-how-to-respond-to-a-personal-data-breach/. ICO text content is available under the Open Government Licence v3.0, except where otherwise stated.</w:t>
      </w:r>
    </w:p>
    <w:sectPr w:rsidR="00FC693F" w:rsidRPr="0006063C" w:rsidSect="00034616">
      <w:footerReference w:type="default" r:id="rId9"/>
      <w:pgSz w:w="11906" w:h="16838"/>
      <w:pgMar w:top="765" w:right="964" w:bottom="709" w:left="96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Bdr>
        <w:top w:val="single" w:sz="4" w:space="1" w:color="AEBBC4"/>
      </w:pBdr>
    </w:pPr>
    <w:r>
      <w:rPr>
        <w:rFonts w:ascii="Arial" w:hAnsi="Arial" w:eastAsia="Arial"/>
        <w:color w:val="586370"/>
        <w:sz w:val="16"/>
      </w:rPr>
      <w:t>Breach response quick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07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