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 w:eastAsia="Aptos"/>
          <w:b/>
          <w:color w:val="174957"/>
          <w:sz w:val="44"/>
        </w:rPr>
        <w:t>NIST CSF 2.0 Small Business Overview</w:t>
      </w:r>
    </w:p>
    <w:p>
      <w:pPr>
        <w:spacing w:after="160"/>
      </w:pPr>
      <w:r>
        <w:rPr>
          <w:rFonts w:ascii="Aptos" w:hAnsi="Aptos" w:eastAsia="Aptos"/>
          <w:color w:val="5F6B73"/>
          <w:sz w:val="17"/>
        </w:rPr>
        <w:t>Status: Ready for translation | Owner: Operations | Audience: small business advisors | Date: May 1, 2026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3F5"/>
            <w:tcBorders>
              <w:top w:val="single" w:sz="6" w:space="0" w:color="C8DDE1"/>
              <w:left w:val="single" w:sz="6" w:space="0" w:color="C8DDE1"/>
              <w:bottom w:val="single" w:sz="6" w:space="0" w:color="C8DDE1"/>
              <w:right w:val="single" w:sz="6" w:space="0" w:color="C8DDE1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74957"/>
                <w:sz w:val="18"/>
              </w:rPr>
              <w:t xml:space="preserve">Purpose: </w:t>
            </w:r>
            <w:r>
              <w:rPr>
                <w:rFonts w:ascii="Aptos" w:hAnsi="Aptos" w:eastAsia="Aptos"/>
                <w:color w:val="1F2933"/>
                <w:sz w:val="18"/>
              </w:rPr>
              <w:t>This brief explains how a small organization can start using NIST CSF 2.0 concepts. It will be translated into Spanish for advisors who support small businesses. Keep framework names, function labels, and technical terms unchanged.</w:t>
            </w:r>
          </w:p>
        </w:tc>
      </w:tr>
    </w:tbl>
    <w:p>
      <w:pPr>
        <w:spacing w:after="0"/>
      </w:pPr>
    </w:p>
    <w:p>
      <w:pPr>
        <w:spacing w:before="160" w:after="60"/>
      </w:pPr>
      <w:r>
        <w:rPr>
          <w:rFonts w:ascii="Aptos" w:hAnsi="Aptos" w:eastAsia="Aptos"/>
          <w:b/>
          <w:color w:val="174957"/>
          <w:sz w:val="26"/>
        </w:rPr>
        <w:t>Context</w:t>
      </w:r>
    </w:p>
    <w:p>
      <w:pPr>
        <w:spacing w:after="100" w:line="247" w:lineRule="auto"/>
      </w:pPr>
      <w:r>
        <w:rPr>
          <w:rFonts w:ascii="Aptos" w:hAnsi="Aptos" w:eastAsia="Aptos"/>
          <w:color w:val="1F2933"/>
          <w:sz w:val="18"/>
        </w:rPr>
        <w:t>Many small organizations have modest cybersecurity plans and need a clear, localized guide that reflects practical risk management steps, communication needs, and recovery expectations.</w:t>
      </w:r>
    </w:p>
    <w:p>
      <w:pPr>
        <w:spacing w:before="160" w:after="60"/>
      </w:pPr>
      <w:r>
        <w:rPr>
          <w:rFonts w:ascii="Aptos" w:hAnsi="Aptos" w:eastAsia="Aptos"/>
          <w:b/>
          <w:color w:val="174957"/>
          <w:sz w:val="26"/>
        </w:rPr>
        <w:t>Terms to keep unchanged</w:t>
      </w:r>
    </w:p>
    <w:p>
      <w:pPr>
        <w:spacing w:after="80"/>
      </w:pPr>
      <w:r>
        <w:rPr>
          <w:rFonts w:ascii="Aptos" w:hAnsi="Aptos" w:eastAsia="Aptos"/>
          <w:color w:val="5F6B73"/>
          <w:sz w:val="17"/>
        </w:rPr>
        <w:t>The following terms, names, and labels should remain exactly as written in the translation.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376"/>
            <w:shd w:fill="1F5F6B"/>
            <w:tcBorders>
              <w:top w:val="single" w:sz="8" w:space="0" w:color="174957"/>
              <w:left w:val="single" w:sz="8" w:space="0" w:color="174957"/>
              <w:bottom w:val="single" w:sz="8" w:space="0" w:color="174957"/>
              <w:right w:val="single" w:sz="8" w:space="0" w:color="17495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2232"/>
            <w:shd w:fill="1F5F6B"/>
            <w:tcBorders>
              <w:top w:val="single" w:sz="8" w:space="0" w:color="174957"/>
              <w:left w:val="single" w:sz="8" w:space="0" w:color="174957"/>
              <w:bottom w:val="single" w:sz="8" w:space="0" w:color="174957"/>
              <w:right w:val="single" w:sz="8" w:space="0" w:color="17495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904"/>
            <w:shd w:fill="1F5F6B"/>
            <w:tcBorders>
              <w:top w:val="single" w:sz="8" w:space="0" w:color="174957"/>
              <w:left w:val="single" w:sz="8" w:space="0" w:color="174957"/>
              <w:bottom w:val="single" w:sz="8" w:space="0" w:color="174957"/>
              <w:right w:val="single" w:sz="8" w:space="0" w:color="174957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2376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NIST</w:t>
            </w:r>
          </w:p>
        </w:tc>
        <w:tc>
          <w:tcPr>
            <w:tcW w:type="dxa" w:w="2232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Proper noun</w:t>
            </w:r>
          </w:p>
        </w:tc>
        <w:tc>
          <w:tcPr>
            <w:tcW w:type="dxa" w:w="5904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Agency name</w:t>
            </w:r>
          </w:p>
        </w:tc>
      </w:tr>
      <w:tr>
        <w:tc>
          <w:tcPr>
            <w:tcW w:type="dxa" w:w="2376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CSF 2.0</w:t>
            </w:r>
          </w:p>
        </w:tc>
        <w:tc>
          <w:tcPr>
            <w:tcW w:type="dxa" w:w="2232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Framework name</w:t>
            </w:r>
          </w:p>
        </w:tc>
        <w:tc>
          <w:tcPr>
            <w:tcW w:type="dxa" w:w="5904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Do not translate</w:t>
            </w:r>
          </w:p>
        </w:tc>
      </w:tr>
      <w:tr>
        <w:tc>
          <w:tcPr>
            <w:tcW w:type="dxa" w:w="2376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Govern</w:t>
            </w:r>
          </w:p>
        </w:tc>
        <w:tc>
          <w:tcPr>
            <w:tcW w:type="dxa" w:w="2232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CSF function</w:t>
            </w:r>
          </w:p>
        </w:tc>
        <w:tc>
          <w:tcPr>
            <w:tcW w:type="dxa" w:w="5904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Keep the function label unchanged</w:t>
            </w:r>
          </w:p>
        </w:tc>
      </w:tr>
      <w:tr>
        <w:tc>
          <w:tcPr>
            <w:tcW w:type="dxa" w:w="2376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Identify</w:t>
            </w:r>
          </w:p>
        </w:tc>
        <w:tc>
          <w:tcPr>
            <w:tcW w:type="dxa" w:w="2232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CSF function</w:t>
            </w:r>
          </w:p>
        </w:tc>
        <w:tc>
          <w:tcPr>
            <w:tcW w:type="dxa" w:w="5904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Keep the function label unchanged</w:t>
            </w:r>
          </w:p>
        </w:tc>
      </w:tr>
      <w:tr>
        <w:tc>
          <w:tcPr>
            <w:tcW w:type="dxa" w:w="2376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Protect</w:t>
            </w:r>
          </w:p>
        </w:tc>
        <w:tc>
          <w:tcPr>
            <w:tcW w:type="dxa" w:w="2232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CSF function</w:t>
            </w:r>
          </w:p>
        </w:tc>
        <w:tc>
          <w:tcPr>
            <w:tcW w:type="dxa" w:w="5904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Keep the function label unchanged</w:t>
            </w:r>
          </w:p>
        </w:tc>
      </w:tr>
      <w:tr>
        <w:tc>
          <w:tcPr>
            <w:tcW w:type="dxa" w:w="2376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Respond</w:t>
            </w:r>
          </w:p>
        </w:tc>
        <w:tc>
          <w:tcPr>
            <w:tcW w:type="dxa" w:w="2232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CSF function</w:t>
            </w:r>
          </w:p>
        </w:tc>
        <w:tc>
          <w:tcPr>
            <w:tcW w:type="dxa" w:w="5904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Keep the function label unchanged</w:t>
            </w:r>
          </w:p>
        </w:tc>
      </w:tr>
      <w:tr>
        <w:tc>
          <w:tcPr>
            <w:tcW w:type="dxa" w:w="2376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Recover</w:t>
            </w:r>
          </w:p>
        </w:tc>
        <w:tc>
          <w:tcPr>
            <w:tcW w:type="dxa" w:w="2232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CSF function</w:t>
            </w:r>
          </w:p>
        </w:tc>
        <w:tc>
          <w:tcPr>
            <w:tcW w:type="dxa" w:w="5904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Keep the function label unchanged</w:t>
            </w:r>
          </w:p>
        </w:tc>
      </w:tr>
      <w:tr>
        <w:tc>
          <w:tcPr>
            <w:tcW w:type="dxa" w:w="2376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1F2933"/>
                <w:sz w:val="16"/>
              </w:rPr>
              <w:t>SMB</w:t>
            </w:r>
          </w:p>
        </w:tc>
        <w:tc>
          <w:tcPr>
            <w:tcW w:type="dxa" w:w="2232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Abbreviation</w:t>
            </w:r>
          </w:p>
        </w:tc>
        <w:tc>
          <w:tcPr>
            <w:tcW w:type="dxa" w:w="5904"/>
            <w:tcBorders>
              <w:top w:val="single" w:sz="6" w:space="0" w:color="B8CBD0"/>
              <w:left w:val="single" w:sz="6" w:space="0" w:color="B8CBD0"/>
              <w:bottom w:val="single" w:sz="6" w:space="0" w:color="B8CBD0"/>
              <w:right w:val="single" w:sz="6" w:space="0" w:color="B8CBD0"/>
            </w:tcBorders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3"/>
                <w:sz w:val="16"/>
              </w:rPr>
              <w:t>Keep uppercase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start w:w="0" w:type="dxa"/>
              <w:bottom w:w="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74957"/>
                <w:sz w:val="24"/>
              </w:rPr>
              <w:t>Localization notes</w:t>
            </w:r>
          </w:p>
          <w:p>
            <w:pPr>
              <w:pStyle w:val="ListBullet"/>
              <w:spacing w:after="30" w:line="245" w:lineRule="auto"/>
              <w:ind w:left="259" w:hanging="259"/>
            </w:pPr>
            <w:r>
              <w:rPr>
                <w:rFonts w:ascii="Aptos" w:hAnsi="Aptos" w:eastAsia="Aptos"/>
                <w:color w:val="1F2933"/>
                <w:sz w:val="17"/>
              </w:rPr>
              <w:t>Use natural, professional Spanish for a small-business audience.</w:t>
            </w:r>
          </w:p>
          <w:p>
            <w:pPr>
              <w:pStyle w:val="ListBullet"/>
              <w:spacing w:after="30" w:line="245" w:lineRule="auto"/>
              <w:ind w:left="259" w:hanging="259"/>
            </w:pPr>
            <w:r>
              <w:rPr>
                <w:rFonts w:ascii="Aptos" w:hAnsi="Aptos" w:eastAsia="Aptos"/>
                <w:color w:val="1F2933"/>
                <w:sz w:val="17"/>
              </w:rPr>
              <w:t>Do not translate NIST, CSF 2.0, Govern, Identify, Protect, Respond, Recover, or SMB.</w:t>
            </w:r>
          </w:p>
          <w:p>
            <w:pPr>
              <w:pStyle w:val="ListBullet"/>
              <w:spacing w:after="30" w:line="245" w:lineRule="auto"/>
              <w:ind w:left="259" w:hanging="259"/>
            </w:pPr>
            <w:r>
              <w:rPr>
                <w:rFonts w:ascii="Aptos" w:hAnsi="Aptos" w:eastAsia="Aptos"/>
                <w:color w:val="1F2933"/>
                <w:sz w:val="17"/>
              </w:rPr>
              <w:t>Keep date and time formats consistent with regional expectations.</w:t>
            </w:r>
          </w:p>
          <w:p>
            <w:pPr>
              <w:pStyle w:val="ListBullet"/>
              <w:spacing w:after="30" w:line="245" w:lineRule="auto"/>
              <w:ind w:left="259" w:hanging="259"/>
            </w:pPr>
            <w:r>
              <w:rPr>
                <w:rFonts w:ascii="Aptos" w:hAnsi="Aptos" w:eastAsia="Aptos"/>
                <w:color w:val="1F2933"/>
                <w:sz w:val="17"/>
              </w:rPr>
              <w:t>Ensure framework labels remain accurate after translation.</w:t>
            </w:r>
          </w:p>
        </w:tc>
        <w:tc>
          <w:tcPr>
            <w:tcW w:type="dxa" w:w="5256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start w:w="0" w:type="dxa"/>
              <w:bottom w:w="0" w:type="dxa"/>
              <w:end w:w="17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174957"/>
                <w:sz w:val="24"/>
              </w:rPr>
              <w:t>Quick-start overview</w:t>
            </w:r>
          </w:p>
          <w:p>
            <w:pPr>
              <w:spacing w:after="40" w:line="245" w:lineRule="auto"/>
            </w:pPr>
            <w:r>
              <w:rPr>
                <w:rFonts w:ascii="Aptos" w:hAnsi="Aptos" w:eastAsia="Aptos"/>
                <w:b/>
                <w:color w:val="174957"/>
                <w:sz w:val="17"/>
              </w:rPr>
              <w:t xml:space="preserve">1. </w:t>
            </w:r>
            <w:r>
              <w:rPr>
                <w:rFonts w:ascii="Aptos" w:hAnsi="Aptos" w:eastAsia="Aptos"/>
                <w:color w:val="1F2933"/>
                <w:sz w:val="17"/>
              </w:rPr>
              <w:t>Identify the systems, accounts, and data that support daily operations.</w:t>
            </w:r>
          </w:p>
          <w:p>
            <w:pPr>
              <w:spacing w:after="40" w:line="245" w:lineRule="auto"/>
            </w:pPr>
            <w:r>
              <w:rPr>
                <w:rFonts w:ascii="Aptos" w:hAnsi="Aptos" w:eastAsia="Aptos"/>
                <w:b/>
                <w:color w:val="174957"/>
                <w:sz w:val="17"/>
              </w:rPr>
              <w:t xml:space="preserve">2. </w:t>
            </w:r>
            <w:r>
              <w:rPr>
                <w:rFonts w:ascii="Aptos" w:hAnsi="Aptos" w:eastAsia="Aptos"/>
                <w:color w:val="1F2933"/>
                <w:sz w:val="17"/>
              </w:rPr>
              <w:t>Decide who owns cybersecurity decisions and incident escalation.</w:t>
            </w:r>
          </w:p>
          <w:p>
            <w:pPr>
              <w:spacing w:after="40" w:line="245" w:lineRule="auto"/>
            </w:pPr>
            <w:r>
              <w:rPr>
                <w:rFonts w:ascii="Aptos" w:hAnsi="Aptos" w:eastAsia="Aptos"/>
                <w:b/>
                <w:color w:val="174957"/>
                <w:sz w:val="17"/>
              </w:rPr>
              <w:t xml:space="preserve">3. </w:t>
            </w:r>
            <w:r>
              <w:rPr>
                <w:rFonts w:ascii="Aptos" w:hAnsi="Aptos" w:eastAsia="Aptos"/>
                <w:color w:val="1F2933"/>
                <w:sz w:val="17"/>
              </w:rPr>
              <w:t>Use safeguards such as MFA, backups, updates, and role-based access.</w:t>
            </w:r>
          </w:p>
          <w:p>
            <w:pPr>
              <w:spacing w:after="40" w:line="245" w:lineRule="auto"/>
            </w:pPr>
            <w:r>
              <w:rPr>
                <w:rFonts w:ascii="Aptos" w:hAnsi="Aptos" w:eastAsia="Aptos"/>
                <w:b/>
                <w:color w:val="174957"/>
                <w:sz w:val="17"/>
              </w:rPr>
              <w:t xml:space="preserve">4. </w:t>
            </w:r>
            <w:r>
              <w:rPr>
                <w:rFonts w:ascii="Aptos" w:hAnsi="Aptos" w:eastAsia="Aptos"/>
                <w:color w:val="1F2933"/>
                <w:sz w:val="17"/>
              </w:rPr>
              <w:t>Define how staff should report suspected incidents.</w:t>
            </w:r>
          </w:p>
          <w:p>
            <w:pPr>
              <w:spacing w:after="40" w:line="245" w:lineRule="auto"/>
            </w:pPr>
            <w:r>
              <w:rPr>
                <w:rFonts w:ascii="Aptos" w:hAnsi="Aptos" w:eastAsia="Aptos"/>
                <w:b/>
                <w:color w:val="174957"/>
                <w:sz w:val="17"/>
              </w:rPr>
              <w:t xml:space="preserve">5. </w:t>
            </w:r>
            <w:r>
              <w:rPr>
                <w:rFonts w:ascii="Aptos" w:hAnsi="Aptos" w:eastAsia="Aptos"/>
                <w:color w:val="1F2933"/>
                <w:sz w:val="17"/>
              </w:rPr>
              <w:t>Document how the organization will restore affected systems and operations.</w:t>
            </w:r>
          </w:p>
        </w:tc>
      </w:tr>
    </w:tbl>
    <w:p>
      <w:pPr>
        <w:spacing w:before="160" w:after="60"/>
      </w:pPr>
      <w:r>
        <w:rPr>
          <w:rFonts w:ascii="Aptos" w:hAnsi="Aptos" w:eastAsia="Aptos"/>
          <w:b/>
          <w:color w:val="174957"/>
          <w:sz w:val="24"/>
        </w:rPr>
        <w:t>Next steps</w:t>
      </w:r>
    </w:p>
    <w:p>
      <w:pPr>
        <w:spacing w:after="40" w:line="247" w:lineRule="auto"/>
      </w:pPr>
      <w:r>
        <w:rPr>
          <w:rFonts w:ascii="Aptos" w:hAnsi="Aptos" w:eastAsia="Aptos"/>
          <w:color w:val="1F2933"/>
          <w:sz w:val="17"/>
        </w:rPr>
        <w:t>After translation, share the draft with operations and advisory staff for review by May 6, 2026. Once approved, publish it with the small-business planning materials.</w:t>
      </w:r>
    </w:p>
    <w:p>
      <w:pPr>
        <w:spacing w:after="0"/>
      </w:pPr>
      <w:r>
        <w:rPr>
          <w:rFonts w:ascii="Aptos" w:hAnsi="Aptos" w:eastAsia="Aptos"/>
          <w:color w:val="1F2933"/>
          <w:sz w:val="17"/>
        </w:rPr>
        <w:t>Questions? Contact the operations owner or the advisor assigned to the planning session.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Aptos" w:hAnsi="Aptos" w:eastAsia="Aptos"/>
        <w:color w:val="5F6B73"/>
        <w:sz w:val="15"/>
      </w:rPr>
      <w:t>Translation sample | NIST CSF 2.0 small-business overview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