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D220" w14:textId="15ABFC54" w:rsidR="008977ED" w:rsidRDefault="008977ED" w:rsidP="008977ED">
      <w:pPr>
        <w:tabs>
          <w:tab w:val="left" w:pos="1512"/>
        </w:tabs>
        <w:jc w:val="center"/>
        <w:rPr>
          <w:rFonts w:ascii="Times New Roman" w:hAnsi="Times New Roman" w:cs="Times New Roman"/>
          <w:b/>
          <w:bCs/>
          <w:sz w:val="72"/>
          <w:szCs w:val="72"/>
        </w:rPr>
      </w:pPr>
      <w:r w:rsidRPr="008977ED">
        <w:rPr>
          <w:rFonts w:ascii="Times New Roman" w:hAnsi="Times New Roman" w:cs="Times New Roman"/>
          <w:b/>
          <w:bCs/>
          <w:sz w:val="72"/>
          <w:szCs w:val="72"/>
        </w:rPr>
        <w:t>Report</w:t>
      </w:r>
    </w:p>
    <w:p w14:paraId="736AEA1A" w14:textId="77777777" w:rsidR="008977ED" w:rsidRDefault="008977ED" w:rsidP="008977ED">
      <w:pPr>
        <w:tabs>
          <w:tab w:val="left" w:pos="1512"/>
        </w:tabs>
        <w:rPr>
          <w:rFonts w:ascii="Times New Roman" w:hAnsi="Times New Roman" w:cs="Times New Roman"/>
          <w:sz w:val="24"/>
          <w:szCs w:val="24"/>
        </w:rPr>
      </w:pPr>
    </w:p>
    <w:p w14:paraId="16FA7178" w14:textId="4E245F1A" w:rsidR="008977ED" w:rsidRDefault="008977ED" w:rsidP="008977ED">
      <w:pPr>
        <w:tabs>
          <w:tab w:val="left" w:pos="1512"/>
        </w:tabs>
        <w:rPr>
          <w:rFonts w:ascii="Times New Roman" w:hAnsi="Times New Roman" w:cs="Times New Roman"/>
          <w:sz w:val="24"/>
          <w:szCs w:val="24"/>
        </w:rPr>
      </w:pPr>
      <w:r w:rsidRPr="008977ED">
        <w:rPr>
          <w:rFonts w:ascii="Times New Roman" w:hAnsi="Times New Roman" w:cs="Times New Roman"/>
          <w:sz w:val="24"/>
          <w:szCs w:val="24"/>
        </w:rPr>
        <w:drawing>
          <wp:inline distT="0" distB="0" distL="0" distR="0" wp14:anchorId="64614714" wp14:editId="233CB9EB">
            <wp:extent cx="5731510" cy="3896995"/>
            <wp:effectExtent l="0" t="0" r="2540" b="8255"/>
            <wp:docPr id="145387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4212" name=""/>
                    <pic:cNvPicPr/>
                  </pic:nvPicPr>
                  <pic:blipFill>
                    <a:blip r:embed="rId5"/>
                    <a:stretch>
                      <a:fillRect/>
                    </a:stretch>
                  </pic:blipFill>
                  <pic:spPr>
                    <a:xfrm>
                      <a:off x="0" y="0"/>
                      <a:ext cx="5731510" cy="3896995"/>
                    </a:xfrm>
                    <a:prstGeom prst="rect">
                      <a:avLst/>
                    </a:prstGeom>
                  </pic:spPr>
                </pic:pic>
              </a:graphicData>
            </a:graphic>
          </wp:inline>
        </w:drawing>
      </w:r>
    </w:p>
    <w:p w14:paraId="1BC9B539" w14:textId="7860D511" w:rsidR="008977ED" w:rsidRPr="008977ED" w:rsidRDefault="008977ED" w:rsidP="008977ED">
      <w:pPr>
        <w:tabs>
          <w:tab w:val="left" w:pos="1512"/>
        </w:tabs>
        <w:rPr>
          <w:rFonts w:ascii="Times New Roman" w:hAnsi="Times New Roman" w:cs="Times New Roman"/>
          <w:sz w:val="24"/>
          <w:szCs w:val="24"/>
        </w:rPr>
      </w:pPr>
      <w:r w:rsidRPr="008977ED">
        <w:rPr>
          <w:rFonts w:ascii="Times New Roman" w:hAnsi="Times New Roman" w:cs="Times New Roman"/>
          <w:sz w:val="24"/>
          <w:szCs w:val="24"/>
        </w:rPr>
        <w:t>The</w:t>
      </w:r>
      <w:r>
        <w:rPr>
          <w:rFonts w:ascii="Times New Roman" w:hAnsi="Times New Roman" w:cs="Times New Roman"/>
          <w:sz w:val="24"/>
          <w:szCs w:val="24"/>
        </w:rPr>
        <w:t xml:space="preserve"> stacked</w:t>
      </w:r>
      <w:r w:rsidRPr="008977ED">
        <w:rPr>
          <w:rFonts w:ascii="Times New Roman" w:hAnsi="Times New Roman" w:cs="Times New Roman"/>
          <w:sz w:val="24"/>
          <w:szCs w:val="24"/>
        </w:rPr>
        <w:t xml:space="preserve"> bar plot above displays the total sales for each product category. Here are a few observations:</w:t>
      </w:r>
    </w:p>
    <w:p w14:paraId="243A07BA" w14:textId="77777777" w:rsidR="008977ED" w:rsidRPr="008977ED" w:rsidRDefault="008977ED" w:rsidP="008977ED">
      <w:pPr>
        <w:numPr>
          <w:ilvl w:val="0"/>
          <w:numId w:val="1"/>
        </w:numPr>
        <w:tabs>
          <w:tab w:val="left" w:pos="1512"/>
        </w:tabs>
        <w:rPr>
          <w:rFonts w:ascii="Times New Roman" w:hAnsi="Times New Roman" w:cs="Times New Roman"/>
          <w:sz w:val="24"/>
          <w:szCs w:val="24"/>
        </w:rPr>
      </w:pPr>
      <w:r w:rsidRPr="008977ED">
        <w:rPr>
          <w:rFonts w:ascii="Times New Roman" w:hAnsi="Times New Roman" w:cs="Times New Roman"/>
          <w:b/>
          <w:bCs/>
          <w:sz w:val="24"/>
          <w:szCs w:val="24"/>
        </w:rPr>
        <w:t>Health and Beauty</w:t>
      </w:r>
      <w:r w:rsidRPr="008977ED">
        <w:rPr>
          <w:rFonts w:ascii="Times New Roman" w:hAnsi="Times New Roman" w:cs="Times New Roman"/>
          <w:sz w:val="24"/>
          <w:szCs w:val="24"/>
        </w:rPr>
        <w:t xml:space="preserve"> category has the highest sales, followed closely by </w:t>
      </w:r>
      <w:r w:rsidRPr="008977ED">
        <w:rPr>
          <w:rFonts w:ascii="Times New Roman" w:hAnsi="Times New Roman" w:cs="Times New Roman"/>
          <w:b/>
          <w:bCs/>
          <w:sz w:val="24"/>
          <w:szCs w:val="24"/>
        </w:rPr>
        <w:t>Watches and Gifts</w:t>
      </w:r>
      <w:r w:rsidRPr="008977ED">
        <w:rPr>
          <w:rFonts w:ascii="Times New Roman" w:hAnsi="Times New Roman" w:cs="Times New Roman"/>
          <w:sz w:val="24"/>
          <w:szCs w:val="24"/>
        </w:rPr>
        <w:t>.</w:t>
      </w:r>
    </w:p>
    <w:p w14:paraId="61473100" w14:textId="77777777" w:rsidR="008977ED" w:rsidRPr="008977ED" w:rsidRDefault="008977ED" w:rsidP="008977ED">
      <w:pPr>
        <w:numPr>
          <w:ilvl w:val="0"/>
          <w:numId w:val="1"/>
        </w:numPr>
        <w:tabs>
          <w:tab w:val="left" w:pos="1512"/>
        </w:tabs>
        <w:rPr>
          <w:rFonts w:ascii="Times New Roman" w:hAnsi="Times New Roman" w:cs="Times New Roman"/>
          <w:sz w:val="24"/>
          <w:szCs w:val="24"/>
        </w:rPr>
      </w:pPr>
      <w:r w:rsidRPr="008977ED">
        <w:rPr>
          <w:rFonts w:ascii="Times New Roman" w:hAnsi="Times New Roman" w:cs="Times New Roman"/>
          <w:b/>
          <w:bCs/>
          <w:sz w:val="24"/>
          <w:szCs w:val="24"/>
        </w:rPr>
        <w:t>Computers and Accessories</w:t>
      </w:r>
      <w:r w:rsidRPr="008977ED">
        <w:rPr>
          <w:rFonts w:ascii="Times New Roman" w:hAnsi="Times New Roman" w:cs="Times New Roman"/>
          <w:sz w:val="24"/>
          <w:szCs w:val="24"/>
        </w:rPr>
        <w:t xml:space="preserve"> category, although still significant, shows comparatively lower sales among the top categories shown.</w:t>
      </w:r>
    </w:p>
    <w:p w14:paraId="032FC351" w14:textId="04CD1A4D" w:rsidR="008977ED" w:rsidRDefault="008977ED" w:rsidP="008977ED">
      <w:pPr>
        <w:tabs>
          <w:tab w:val="left" w:pos="1512"/>
        </w:tabs>
        <w:rPr>
          <w:rFonts w:ascii="Times New Roman" w:hAnsi="Times New Roman" w:cs="Times New Roman"/>
          <w:sz w:val="24"/>
          <w:szCs w:val="24"/>
        </w:rPr>
      </w:pPr>
      <w:r w:rsidRPr="008977ED">
        <w:rPr>
          <w:rFonts w:ascii="Times New Roman" w:hAnsi="Times New Roman" w:cs="Times New Roman"/>
          <w:sz w:val="24"/>
          <w:szCs w:val="24"/>
        </w:rPr>
        <w:t xml:space="preserve">With this data, we can </w:t>
      </w:r>
      <w:r w:rsidRPr="008977ED">
        <w:rPr>
          <w:rFonts w:ascii="Times New Roman" w:hAnsi="Times New Roman" w:cs="Times New Roman"/>
          <w:sz w:val="24"/>
          <w:szCs w:val="24"/>
        </w:rPr>
        <w:t>analyse</w:t>
      </w:r>
      <w:r w:rsidRPr="008977ED">
        <w:rPr>
          <w:rFonts w:ascii="Times New Roman" w:hAnsi="Times New Roman" w:cs="Times New Roman"/>
          <w:sz w:val="24"/>
          <w:szCs w:val="24"/>
        </w:rPr>
        <w:t xml:space="preserve"> trends, forecast future sales, or evaluate the performance of different product categories.</w:t>
      </w:r>
    </w:p>
    <w:p w14:paraId="29A3A1A4" w14:textId="77777777" w:rsidR="008977ED" w:rsidRDefault="008977ED" w:rsidP="008977ED">
      <w:pPr>
        <w:tabs>
          <w:tab w:val="left" w:pos="1512"/>
        </w:tabs>
        <w:rPr>
          <w:rFonts w:ascii="Times New Roman" w:hAnsi="Times New Roman" w:cs="Times New Roman"/>
          <w:sz w:val="24"/>
          <w:szCs w:val="24"/>
        </w:rPr>
      </w:pPr>
    </w:p>
    <w:p w14:paraId="221A94FD" w14:textId="77777777" w:rsidR="008977ED" w:rsidRDefault="008977ED" w:rsidP="008977ED">
      <w:pPr>
        <w:tabs>
          <w:tab w:val="left" w:pos="1512"/>
        </w:tabs>
        <w:rPr>
          <w:rFonts w:ascii="Times New Roman" w:hAnsi="Times New Roman" w:cs="Times New Roman"/>
          <w:sz w:val="24"/>
          <w:szCs w:val="24"/>
        </w:rPr>
      </w:pPr>
    </w:p>
    <w:p w14:paraId="539B315E" w14:textId="79C68E24" w:rsidR="008977ED" w:rsidRDefault="008977ED" w:rsidP="008977ED">
      <w:pPr>
        <w:tabs>
          <w:tab w:val="left" w:pos="1512"/>
        </w:tabs>
        <w:rPr>
          <w:rFonts w:ascii="Times New Roman" w:hAnsi="Times New Roman" w:cs="Times New Roman"/>
          <w:sz w:val="24"/>
          <w:szCs w:val="24"/>
        </w:rPr>
      </w:pPr>
      <w:r w:rsidRPr="008977ED">
        <w:rPr>
          <w:rFonts w:ascii="Times New Roman" w:hAnsi="Times New Roman" w:cs="Times New Roman"/>
          <w:sz w:val="24"/>
          <w:szCs w:val="24"/>
        </w:rPr>
        <w:lastRenderedPageBreak/>
        <w:drawing>
          <wp:inline distT="0" distB="0" distL="0" distR="0" wp14:anchorId="5147ED1E" wp14:editId="610C0C25">
            <wp:extent cx="5731510" cy="3564255"/>
            <wp:effectExtent l="0" t="0" r="2540" b="0"/>
            <wp:docPr id="126835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54151" name=""/>
                    <pic:cNvPicPr/>
                  </pic:nvPicPr>
                  <pic:blipFill>
                    <a:blip r:embed="rId6"/>
                    <a:stretch>
                      <a:fillRect/>
                    </a:stretch>
                  </pic:blipFill>
                  <pic:spPr>
                    <a:xfrm>
                      <a:off x="0" y="0"/>
                      <a:ext cx="5731510" cy="3564255"/>
                    </a:xfrm>
                    <a:prstGeom prst="rect">
                      <a:avLst/>
                    </a:prstGeom>
                  </pic:spPr>
                </pic:pic>
              </a:graphicData>
            </a:graphic>
          </wp:inline>
        </w:drawing>
      </w:r>
    </w:p>
    <w:p w14:paraId="54AAFDEF" w14:textId="77777777" w:rsidR="008977ED" w:rsidRDefault="008977ED" w:rsidP="008977ED">
      <w:pPr>
        <w:tabs>
          <w:tab w:val="left" w:pos="1512"/>
        </w:tabs>
        <w:rPr>
          <w:rFonts w:ascii="Times New Roman" w:hAnsi="Times New Roman" w:cs="Times New Roman"/>
          <w:sz w:val="24"/>
          <w:szCs w:val="24"/>
        </w:rPr>
      </w:pPr>
    </w:p>
    <w:p w14:paraId="377C16FB" w14:textId="77777777" w:rsidR="008977ED" w:rsidRPr="008977ED" w:rsidRDefault="008977ED" w:rsidP="008977ED">
      <w:pPr>
        <w:tabs>
          <w:tab w:val="left" w:pos="1512"/>
        </w:tabs>
        <w:rPr>
          <w:rFonts w:ascii="Times New Roman" w:hAnsi="Times New Roman" w:cs="Times New Roman"/>
          <w:sz w:val="24"/>
          <w:szCs w:val="24"/>
        </w:rPr>
      </w:pPr>
      <w:r w:rsidRPr="008977ED">
        <w:rPr>
          <w:rFonts w:ascii="Times New Roman" w:hAnsi="Times New Roman" w:cs="Times New Roman"/>
          <w:sz w:val="24"/>
          <w:szCs w:val="24"/>
        </w:rPr>
        <w:t>The line graph illustrates the monthly distribution of delayed and on-time orders. Here are some insights and observations:</w:t>
      </w:r>
    </w:p>
    <w:p w14:paraId="11731073" w14:textId="77777777" w:rsidR="008977ED" w:rsidRPr="008977ED" w:rsidRDefault="008977ED" w:rsidP="008977ED">
      <w:pPr>
        <w:tabs>
          <w:tab w:val="left" w:pos="1512"/>
        </w:tabs>
        <w:rPr>
          <w:rFonts w:ascii="Times New Roman" w:hAnsi="Times New Roman" w:cs="Times New Roman"/>
          <w:sz w:val="24"/>
          <w:szCs w:val="24"/>
        </w:rPr>
      </w:pPr>
      <w:r w:rsidRPr="008977ED">
        <w:rPr>
          <w:rFonts w:ascii="Times New Roman" w:hAnsi="Times New Roman" w:cs="Times New Roman"/>
          <w:b/>
          <w:bCs/>
          <w:sz w:val="24"/>
          <w:szCs w:val="24"/>
        </w:rPr>
        <w:t>Peak Delays:</w:t>
      </w:r>
      <w:r w:rsidRPr="008977ED">
        <w:rPr>
          <w:rFonts w:ascii="Times New Roman" w:hAnsi="Times New Roman" w:cs="Times New Roman"/>
          <w:sz w:val="24"/>
          <w:szCs w:val="24"/>
        </w:rPr>
        <w:t xml:space="preserve"> March and April show significant peaks in delayed orders, with March having the highest number of delays for the year. This could be due to specific operational challenges or seasonal demand increases.</w:t>
      </w:r>
    </w:p>
    <w:p w14:paraId="064ABF7B" w14:textId="77777777" w:rsidR="008977ED" w:rsidRPr="008977ED" w:rsidRDefault="008977ED" w:rsidP="008977ED">
      <w:pPr>
        <w:tabs>
          <w:tab w:val="left" w:pos="1512"/>
        </w:tabs>
        <w:rPr>
          <w:rFonts w:ascii="Times New Roman" w:hAnsi="Times New Roman" w:cs="Times New Roman"/>
          <w:sz w:val="24"/>
          <w:szCs w:val="24"/>
        </w:rPr>
      </w:pPr>
      <w:r w:rsidRPr="008977ED">
        <w:rPr>
          <w:rFonts w:ascii="Times New Roman" w:hAnsi="Times New Roman" w:cs="Times New Roman"/>
          <w:b/>
          <w:bCs/>
          <w:sz w:val="24"/>
          <w:szCs w:val="24"/>
        </w:rPr>
        <w:t>Consistency in On-Time Orders:</w:t>
      </w:r>
      <w:r w:rsidRPr="008977ED">
        <w:rPr>
          <w:rFonts w:ascii="Times New Roman" w:hAnsi="Times New Roman" w:cs="Times New Roman"/>
          <w:sz w:val="24"/>
          <w:szCs w:val="24"/>
        </w:rPr>
        <w:t xml:space="preserve"> On-time deliveries are relatively consistent across several months, with a notable dip in March and April, coinciding with the spike in delays. This suggests that factors affecting delays in these months could be impacting overall delivery performance.</w:t>
      </w:r>
    </w:p>
    <w:p w14:paraId="7CA091E5" w14:textId="77777777" w:rsidR="008977ED" w:rsidRPr="008977ED" w:rsidRDefault="008977ED" w:rsidP="008977ED">
      <w:pPr>
        <w:tabs>
          <w:tab w:val="left" w:pos="1512"/>
        </w:tabs>
        <w:rPr>
          <w:rFonts w:ascii="Times New Roman" w:hAnsi="Times New Roman" w:cs="Times New Roman"/>
          <w:sz w:val="24"/>
          <w:szCs w:val="24"/>
        </w:rPr>
      </w:pPr>
      <w:r w:rsidRPr="008977ED">
        <w:rPr>
          <w:rFonts w:ascii="Times New Roman" w:hAnsi="Times New Roman" w:cs="Times New Roman"/>
          <w:b/>
          <w:bCs/>
          <w:sz w:val="24"/>
          <w:szCs w:val="24"/>
        </w:rPr>
        <w:t>End of Year Performance:</w:t>
      </w:r>
      <w:r w:rsidRPr="008977ED">
        <w:rPr>
          <w:rFonts w:ascii="Times New Roman" w:hAnsi="Times New Roman" w:cs="Times New Roman"/>
          <w:sz w:val="24"/>
          <w:szCs w:val="24"/>
        </w:rPr>
        <w:t xml:space="preserve"> Both delayed and on-time orders seem to stabilize towards the end of the year, with a decrease in delays and a slight increase in on-time deliveries, suggesting possible improvements in processes or a reduction in overall order volume.</w:t>
      </w:r>
    </w:p>
    <w:p w14:paraId="3A65089E" w14:textId="3709F195" w:rsidR="008977ED" w:rsidRDefault="008977ED" w:rsidP="008977ED">
      <w:pPr>
        <w:tabs>
          <w:tab w:val="left" w:pos="1512"/>
        </w:tabs>
        <w:rPr>
          <w:rFonts w:ascii="Times New Roman" w:hAnsi="Times New Roman" w:cs="Times New Roman"/>
          <w:sz w:val="24"/>
          <w:szCs w:val="24"/>
        </w:rPr>
      </w:pPr>
      <w:r w:rsidRPr="008977ED">
        <w:rPr>
          <w:rFonts w:ascii="Times New Roman" w:hAnsi="Times New Roman" w:cs="Times New Roman"/>
          <w:b/>
          <w:bCs/>
          <w:sz w:val="24"/>
          <w:szCs w:val="24"/>
        </w:rPr>
        <w:t>Low Volume Start:</w:t>
      </w:r>
      <w:r w:rsidRPr="008977ED">
        <w:rPr>
          <w:rFonts w:ascii="Times New Roman" w:hAnsi="Times New Roman" w:cs="Times New Roman"/>
          <w:sz w:val="24"/>
          <w:szCs w:val="24"/>
        </w:rPr>
        <w:t xml:space="preserve"> The year starts with fewer orders in both categories in January and February, which gradually increase. This trend might indicate seasonal variation in sales and order placements.</w:t>
      </w:r>
    </w:p>
    <w:p w14:paraId="4AC012EB" w14:textId="77777777" w:rsidR="008977ED" w:rsidRDefault="008977ED" w:rsidP="008977ED">
      <w:pPr>
        <w:tabs>
          <w:tab w:val="left" w:pos="1512"/>
        </w:tabs>
        <w:rPr>
          <w:rFonts w:ascii="Times New Roman" w:hAnsi="Times New Roman" w:cs="Times New Roman"/>
          <w:sz w:val="24"/>
          <w:szCs w:val="24"/>
        </w:rPr>
      </w:pPr>
    </w:p>
    <w:p w14:paraId="0C459FFB" w14:textId="708278CC" w:rsidR="008977ED" w:rsidRDefault="003D3DB8" w:rsidP="008977ED">
      <w:pPr>
        <w:tabs>
          <w:tab w:val="left" w:pos="1512"/>
        </w:tabs>
        <w:rPr>
          <w:rFonts w:ascii="Times New Roman" w:hAnsi="Times New Roman" w:cs="Times New Roman"/>
          <w:sz w:val="24"/>
          <w:szCs w:val="24"/>
        </w:rPr>
      </w:pPr>
      <w:r w:rsidRPr="003D3DB8">
        <w:rPr>
          <w:rFonts w:ascii="Times New Roman" w:hAnsi="Times New Roman" w:cs="Times New Roman"/>
          <w:sz w:val="24"/>
          <w:szCs w:val="24"/>
        </w:rPr>
        <w:lastRenderedPageBreak/>
        <w:drawing>
          <wp:inline distT="0" distB="0" distL="0" distR="0" wp14:anchorId="586125BD" wp14:editId="43F358E8">
            <wp:extent cx="5731510" cy="3877945"/>
            <wp:effectExtent l="0" t="0" r="2540" b="8255"/>
            <wp:docPr id="76134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47102" name=""/>
                    <pic:cNvPicPr/>
                  </pic:nvPicPr>
                  <pic:blipFill>
                    <a:blip r:embed="rId7"/>
                    <a:stretch>
                      <a:fillRect/>
                    </a:stretch>
                  </pic:blipFill>
                  <pic:spPr>
                    <a:xfrm>
                      <a:off x="0" y="0"/>
                      <a:ext cx="5731510" cy="3877945"/>
                    </a:xfrm>
                    <a:prstGeom prst="rect">
                      <a:avLst/>
                    </a:prstGeom>
                  </pic:spPr>
                </pic:pic>
              </a:graphicData>
            </a:graphic>
          </wp:inline>
        </w:drawing>
      </w:r>
    </w:p>
    <w:p w14:paraId="7A318626" w14:textId="4DDB5A7F" w:rsidR="003D3DB8" w:rsidRPr="003D3DB8" w:rsidRDefault="003D3DB8" w:rsidP="003D3DB8">
      <w:pPr>
        <w:tabs>
          <w:tab w:val="left" w:pos="1512"/>
        </w:tabs>
        <w:rPr>
          <w:rFonts w:ascii="Times New Roman" w:hAnsi="Times New Roman" w:cs="Times New Roman"/>
          <w:sz w:val="24"/>
          <w:szCs w:val="24"/>
        </w:rPr>
      </w:pPr>
      <w:r w:rsidRPr="008977ED">
        <w:rPr>
          <w:rFonts w:ascii="Times New Roman" w:hAnsi="Times New Roman" w:cs="Times New Roman"/>
          <w:sz w:val="24"/>
          <w:szCs w:val="24"/>
        </w:rPr>
        <w:t>Here are some insights and observations:</w:t>
      </w:r>
    </w:p>
    <w:p w14:paraId="5C11833F" w14:textId="1FEF016B" w:rsidR="003D3DB8" w:rsidRPr="003D3DB8" w:rsidRDefault="003D3DB8" w:rsidP="003D3DB8">
      <w:pPr>
        <w:tabs>
          <w:tab w:val="left" w:pos="1512"/>
        </w:tabs>
        <w:rPr>
          <w:rFonts w:ascii="Times New Roman" w:hAnsi="Times New Roman" w:cs="Times New Roman"/>
          <w:sz w:val="24"/>
          <w:szCs w:val="24"/>
        </w:rPr>
      </w:pPr>
      <w:r w:rsidRPr="003D3DB8">
        <w:rPr>
          <w:rFonts w:ascii="Times New Roman" w:hAnsi="Times New Roman" w:cs="Times New Roman"/>
          <w:b/>
          <w:bCs/>
          <w:sz w:val="24"/>
          <w:szCs w:val="24"/>
        </w:rPr>
        <w:t>Credit Card Dominance:</w:t>
      </w:r>
      <w:r w:rsidRPr="003D3DB8">
        <w:rPr>
          <w:rFonts w:ascii="Times New Roman" w:hAnsi="Times New Roman" w:cs="Times New Roman"/>
          <w:sz w:val="24"/>
          <w:szCs w:val="24"/>
        </w:rPr>
        <w:t xml:space="preserve"> Credit card is by far the most preferred payment method</w:t>
      </w:r>
      <w:r>
        <w:rPr>
          <w:rFonts w:ascii="Times New Roman" w:hAnsi="Times New Roman" w:cs="Times New Roman"/>
          <w:sz w:val="24"/>
          <w:szCs w:val="24"/>
        </w:rPr>
        <w:t xml:space="preserve"> (73.92%)</w:t>
      </w:r>
      <w:r w:rsidRPr="003D3DB8">
        <w:rPr>
          <w:rFonts w:ascii="Times New Roman" w:hAnsi="Times New Roman" w:cs="Times New Roman"/>
          <w:sz w:val="24"/>
          <w:szCs w:val="24"/>
        </w:rPr>
        <w:t xml:space="preserve">, accounting for the majority of transactions. This suggests high consumer confidence in credit transactions and possibly the availability of credit benefits like rewards or </w:t>
      </w:r>
      <w:r w:rsidRPr="003D3DB8">
        <w:rPr>
          <w:rFonts w:ascii="Times New Roman" w:hAnsi="Times New Roman" w:cs="Times New Roman"/>
          <w:sz w:val="24"/>
          <w:szCs w:val="24"/>
        </w:rPr>
        <w:t>instalment</w:t>
      </w:r>
      <w:r w:rsidRPr="003D3DB8">
        <w:rPr>
          <w:rFonts w:ascii="Times New Roman" w:hAnsi="Times New Roman" w:cs="Times New Roman"/>
          <w:sz w:val="24"/>
          <w:szCs w:val="24"/>
        </w:rPr>
        <w:t xml:space="preserve"> plans.</w:t>
      </w:r>
    </w:p>
    <w:p w14:paraId="7D6C8850" w14:textId="77777777" w:rsidR="003D3DB8" w:rsidRPr="003D3DB8" w:rsidRDefault="003D3DB8" w:rsidP="003D3DB8">
      <w:pPr>
        <w:tabs>
          <w:tab w:val="left" w:pos="1512"/>
        </w:tabs>
        <w:rPr>
          <w:rFonts w:ascii="Times New Roman" w:hAnsi="Times New Roman" w:cs="Times New Roman"/>
          <w:b/>
          <w:bCs/>
          <w:sz w:val="24"/>
          <w:szCs w:val="24"/>
        </w:rPr>
      </w:pPr>
      <w:r w:rsidRPr="003D3DB8">
        <w:rPr>
          <w:rFonts w:ascii="Times New Roman" w:hAnsi="Times New Roman" w:cs="Times New Roman"/>
          <w:b/>
          <w:bCs/>
          <w:sz w:val="24"/>
          <w:szCs w:val="24"/>
        </w:rPr>
        <w:t>Alternative Payment Methods:</w:t>
      </w:r>
    </w:p>
    <w:p w14:paraId="47B66317" w14:textId="7952CC69" w:rsidR="003D3DB8" w:rsidRPr="003D3DB8" w:rsidRDefault="003D3DB8" w:rsidP="003D3DB8">
      <w:pPr>
        <w:pStyle w:val="ListParagraph"/>
        <w:numPr>
          <w:ilvl w:val="0"/>
          <w:numId w:val="4"/>
        </w:numPr>
        <w:tabs>
          <w:tab w:val="left" w:pos="1512"/>
        </w:tabs>
        <w:rPr>
          <w:rFonts w:ascii="Times New Roman" w:hAnsi="Times New Roman" w:cs="Times New Roman"/>
          <w:sz w:val="24"/>
          <w:szCs w:val="24"/>
        </w:rPr>
      </w:pPr>
      <w:r w:rsidRPr="00493BCD">
        <w:rPr>
          <w:rFonts w:ascii="Times New Roman" w:hAnsi="Times New Roman" w:cs="Times New Roman"/>
          <w:b/>
          <w:bCs/>
          <w:sz w:val="24"/>
          <w:szCs w:val="24"/>
        </w:rPr>
        <w:t>Boleto:</w:t>
      </w:r>
      <w:r w:rsidRPr="003D3DB8">
        <w:rPr>
          <w:rFonts w:ascii="Times New Roman" w:hAnsi="Times New Roman" w:cs="Times New Roman"/>
          <w:sz w:val="24"/>
          <w:szCs w:val="24"/>
        </w:rPr>
        <w:t xml:space="preserve"> The second most used payment method</w:t>
      </w:r>
      <w:r w:rsidR="00493BCD">
        <w:rPr>
          <w:rFonts w:ascii="Times New Roman" w:hAnsi="Times New Roman" w:cs="Times New Roman"/>
          <w:sz w:val="24"/>
          <w:szCs w:val="24"/>
        </w:rPr>
        <w:t xml:space="preserve"> (19.04%)</w:t>
      </w:r>
      <w:r w:rsidRPr="003D3DB8">
        <w:rPr>
          <w:rFonts w:ascii="Times New Roman" w:hAnsi="Times New Roman" w:cs="Times New Roman"/>
          <w:sz w:val="24"/>
          <w:szCs w:val="24"/>
        </w:rPr>
        <w:t>. Its significant usage indicates a substantial customer base that prefers or requires direct bill payment methods.</w:t>
      </w:r>
    </w:p>
    <w:p w14:paraId="3B045747" w14:textId="29B4EE07" w:rsidR="003D3DB8" w:rsidRPr="003D3DB8" w:rsidRDefault="003D3DB8" w:rsidP="003D3DB8">
      <w:pPr>
        <w:pStyle w:val="ListParagraph"/>
        <w:numPr>
          <w:ilvl w:val="0"/>
          <w:numId w:val="4"/>
        </w:numPr>
        <w:tabs>
          <w:tab w:val="left" w:pos="1512"/>
        </w:tabs>
        <w:rPr>
          <w:rFonts w:ascii="Times New Roman" w:hAnsi="Times New Roman" w:cs="Times New Roman"/>
          <w:sz w:val="24"/>
          <w:szCs w:val="24"/>
        </w:rPr>
      </w:pPr>
      <w:r w:rsidRPr="00493BCD">
        <w:rPr>
          <w:rFonts w:ascii="Times New Roman" w:hAnsi="Times New Roman" w:cs="Times New Roman"/>
          <w:b/>
          <w:bCs/>
          <w:sz w:val="24"/>
          <w:szCs w:val="24"/>
        </w:rPr>
        <w:t>Voucher:</w:t>
      </w:r>
      <w:r w:rsidRPr="003D3DB8">
        <w:rPr>
          <w:rFonts w:ascii="Times New Roman" w:hAnsi="Times New Roman" w:cs="Times New Roman"/>
          <w:sz w:val="24"/>
          <w:szCs w:val="24"/>
        </w:rPr>
        <w:t xml:space="preserve"> Usage is moderate, </w:t>
      </w:r>
      <w:r w:rsidR="00493BCD">
        <w:rPr>
          <w:rFonts w:ascii="Times New Roman" w:hAnsi="Times New Roman" w:cs="Times New Roman"/>
          <w:sz w:val="24"/>
          <w:szCs w:val="24"/>
        </w:rPr>
        <w:t xml:space="preserve">(5.56%) </w:t>
      </w:r>
      <w:r w:rsidRPr="003D3DB8">
        <w:rPr>
          <w:rFonts w:ascii="Times New Roman" w:hAnsi="Times New Roman" w:cs="Times New Roman"/>
          <w:sz w:val="24"/>
          <w:szCs w:val="24"/>
        </w:rPr>
        <w:t>indicating a niche market or specific scenarios where vouchers are issued or preferred, such as gift transactions or promotional strategies.</w:t>
      </w:r>
    </w:p>
    <w:p w14:paraId="3095042E" w14:textId="3EED1E6C" w:rsidR="003D3DB8" w:rsidRDefault="003D3DB8" w:rsidP="003D3DB8">
      <w:pPr>
        <w:pStyle w:val="ListParagraph"/>
        <w:numPr>
          <w:ilvl w:val="0"/>
          <w:numId w:val="4"/>
        </w:numPr>
        <w:tabs>
          <w:tab w:val="left" w:pos="1512"/>
        </w:tabs>
        <w:rPr>
          <w:rFonts w:ascii="Times New Roman" w:hAnsi="Times New Roman" w:cs="Times New Roman"/>
          <w:sz w:val="24"/>
          <w:szCs w:val="24"/>
        </w:rPr>
      </w:pPr>
      <w:r w:rsidRPr="00493BCD">
        <w:rPr>
          <w:rFonts w:ascii="Times New Roman" w:hAnsi="Times New Roman" w:cs="Times New Roman"/>
          <w:b/>
          <w:bCs/>
          <w:sz w:val="24"/>
          <w:szCs w:val="24"/>
        </w:rPr>
        <w:t>Debit Card:</w:t>
      </w:r>
      <w:r w:rsidRPr="003D3DB8">
        <w:rPr>
          <w:rFonts w:ascii="Times New Roman" w:hAnsi="Times New Roman" w:cs="Times New Roman"/>
          <w:sz w:val="24"/>
          <w:szCs w:val="24"/>
        </w:rPr>
        <w:t xml:space="preserve"> Surprisingly, the usage of debit cards is relatively low</w:t>
      </w:r>
      <w:r w:rsidR="00493BCD">
        <w:rPr>
          <w:rFonts w:ascii="Times New Roman" w:hAnsi="Times New Roman" w:cs="Times New Roman"/>
          <w:sz w:val="24"/>
          <w:szCs w:val="24"/>
        </w:rPr>
        <w:t xml:space="preserve"> (1.47%)</w:t>
      </w:r>
      <w:r w:rsidRPr="003D3DB8">
        <w:rPr>
          <w:rFonts w:ascii="Times New Roman" w:hAnsi="Times New Roman" w:cs="Times New Roman"/>
          <w:sz w:val="24"/>
          <w:szCs w:val="24"/>
        </w:rPr>
        <w:t>, which could suggest customer preferences for credit due to deferred payment or reward benefits.</w:t>
      </w:r>
    </w:p>
    <w:p w14:paraId="5FCE13D4" w14:textId="77777777" w:rsidR="003D3DB8" w:rsidRDefault="003D3DB8" w:rsidP="003D3DB8">
      <w:pPr>
        <w:tabs>
          <w:tab w:val="left" w:pos="1512"/>
        </w:tabs>
        <w:rPr>
          <w:rFonts w:ascii="Times New Roman" w:hAnsi="Times New Roman" w:cs="Times New Roman"/>
          <w:sz w:val="24"/>
          <w:szCs w:val="24"/>
        </w:rPr>
      </w:pPr>
      <w:r w:rsidRPr="003D3DB8">
        <w:rPr>
          <w:rFonts w:ascii="Times New Roman" w:hAnsi="Times New Roman" w:cs="Times New Roman"/>
          <w:b/>
          <w:bCs/>
          <w:sz w:val="24"/>
          <w:szCs w:val="24"/>
        </w:rPr>
        <w:t>Not Defined:</w:t>
      </w:r>
      <w:r w:rsidRPr="003D3DB8">
        <w:rPr>
          <w:rFonts w:ascii="Times New Roman" w:hAnsi="Times New Roman" w:cs="Times New Roman"/>
          <w:sz w:val="24"/>
          <w:szCs w:val="24"/>
        </w:rPr>
        <w:t xml:space="preserve"> This category has negligible usage, which might represent data errors, testing entries, or incomplete transaction records.</w:t>
      </w:r>
    </w:p>
    <w:p w14:paraId="5FB87F52" w14:textId="77777777" w:rsidR="00493BCD" w:rsidRDefault="00493BCD" w:rsidP="003D3DB8">
      <w:pPr>
        <w:tabs>
          <w:tab w:val="left" w:pos="1512"/>
        </w:tabs>
        <w:rPr>
          <w:rFonts w:ascii="Times New Roman" w:hAnsi="Times New Roman" w:cs="Times New Roman"/>
          <w:sz w:val="24"/>
          <w:szCs w:val="24"/>
        </w:rPr>
      </w:pPr>
    </w:p>
    <w:p w14:paraId="50505B0B" w14:textId="6EDAA5BB" w:rsidR="00493BCD" w:rsidRDefault="00493BCD" w:rsidP="003D3DB8">
      <w:pPr>
        <w:tabs>
          <w:tab w:val="left" w:pos="1512"/>
        </w:tabs>
        <w:rPr>
          <w:rFonts w:ascii="Times New Roman" w:hAnsi="Times New Roman" w:cs="Times New Roman"/>
          <w:sz w:val="24"/>
          <w:szCs w:val="24"/>
        </w:rPr>
      </w:pPr>
      <w:r w:rsidRPr="00493BCD">
        <w:rPr>
          <w:rFonts w:ascii="Times New Roman" w:hAnsi="Times New Roman" w:cs="Times New Roman"/>
          <w:sz w:val="24"/>
          <w:szCs w:val="24"/>
        </w:rPr>
        <w:lastRenderedPageBreak/>
        <w:drawing>
          <wp:inline distT="0" distB="0" distL="0" distR="0" wp14:anchorId="5514DEA2" wp14:editId="4C4E0D9C">
            <wp:extent cx="5731510" cy="3357880"/>
            <wp:effectExtent l="0" t="0" r="2540" b="0"/>
            <wp:docPr id="33361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12285" name=""/>
                    <pic:cNvPicPr/>
                  </pic:nvPicPr>
                  <pic:blipFill>
                    <a:blip r:embed="rId8"/>
                    <a:stretch>
                      <a:fillRect/>
                    </a:stretch>
                  </pic:blipFill>
                  <pic:spPr>
                    <a:xfrm>
                      <a:off x="0" y="0"/>
                      <a:ext cx="5731510" cy="3357880"/>
                    </a:xfrm>
                    <a:prstGeom prst="rect">
                      <a:avLst/>
                    </a:prstGeom>
                  </pic:spPr>
                </pic:pic>
              </a:graphicData>
            </a:graphic>
          </wp:inline>
        </w:drawing>
      </w:r>
    </w:p>
    <w:p w14:paraId="548FB182" w14:textId="77777777" w:rsidR="00DC2D44" w:rsidRPr="00DC2D44" w:rsidRDefault="00DC2D44" w:rsidP="00DC2D44">
      <w:pPr>
        <w:tabs>
          <w:tab w:val="left" w:pos="1512"/>
        </w:tabs>
        <w:rPr>
          <w:rFonts w:ascii="Times New Roman" w:hAnsi="Times New Roman" w:cs="Times New Roman"/>
          <w:sz w:val="24"/>
          <w:szCs w:val="24"/>
        </w:rPr>
      </w:pPr>
      <w:r w:rsidRPr="00DC2D44">
        <w:rPr>
          <w:rFonts w:ascii="Times New Roman" w:hAnsi="Times New Roman" w:cs="Times New Roman"/>
          <w:sz w:val="24"/>
          <w:szCs w:val="24"/>
        </w:rPr>
        <w:t>Here are some observations and potential insights:</w:t>
      </w:r>
    </w:p>
    <w:p w14:paraId="155935CC" w14:textId="77777777" w:rsidR="00493BCD" w:rsidRDefault="00493BCD" w:rsidP="003D3DB8">
      <w:pPr>
        <w:tabs>
          <w:tab w:val="left" w:pos="1512"/>
        </w:tabs>
        <w:rPr>
          <w:rFonts w:ascii="Times New Roman" w:hAnsi="Times New Roman" w:cs="Times New Roman"/>
          <w:sz w:val="24"/>
          <w:szCs w:val="24"/>
        </w:rPr>
      </w:pPr>
    </w:p>
    <w:p w14:paraId="0A6C522B" w14:textId="77777777" w:rsidR="0058309C" w:rsidRPr="0058309C" w:rsidRDefault="0058309C" w:rsidP="0058309C">
      <w:pPr>
        <w:tabs>
          <w:tab w:val="left" w:pos="1512"/>
        </w:tabs>
        <w:rPr>
          <w:rFonts w:ascii="Times New Roman" w:hAnsi="Times New Roman" w:cs="Times New Roman"/>
          <w:sz w:val="24"/>
          <w:szCs w:val="24"/>
        </w:rPr>
      </w:pPr>
      <w:r w:rsidRPr="0058309C">
        <w:rPr>
          <w:rFonts w:ascii="Times New Roman" w:hAnsi="Times New Roman" w:cs="Times New Roman"/>
          <w:b/>
          <w:bCs/>
          <w:sz w:val="24"/>
          <w:szCs w:val="24"/>
        </w:rPr>
        <w:t>Dominance of SP:</w:t>
      </w:r>
      <w:r w:rsidRPr="0058309C">
        <w:rPr>
          <w:rFonts w:ascii="Times New Roman" w:hAnsi="Times New Roman" w:cs="Times New Roman"/>
          <w:sz w:val="24"/>
          <w:szCs w:val="24"/>
        </w:rPr>
        <w:t xml:space="preserve"> São Paulo (SP) leads in sales by a substantial margin, indicating it as a major hub for business. This could be due to a larger customer base, more sellers, or both.</w:t>
      </w:r>
    </w:p>
    <w:p w14:paraId="7898F636" w14:textId="77777777" w:rsidR="0058309C" w:rsidRPr="0058309C" w:rsidRDefault="0058309C" w:rsidP="0058309C">
      <w:pPr>
        <w:tabs>
          <w:tab w:val="left" w:pos="1512"/>
        </w:tabs>
        <w:rPr>
          <w:rFonts w:ascii="Times New Roman" w:hAnsi="Times New Roman" w:cs="Times New Roman"/>
          <w:sz w:val="24"/>
          <w:szCs w:val="24"/>
        </w:rPr>
      </w:pPr>
      <w:r w:rsidRPr="0058309C">
        <w:rPr>
          <w:rFonts w:ascii="Times New Roman" w:hAnsi="Times New Roman" w:cs="Times New Roman"/>
          <w:b/>
          <w:bCs/>
          <w:sz w:val="24"/>
          <w:szCs w:val="24"/>
        </w:rPr>
        <w:t>Top Performing States:</w:t>
      </w:r>
      <w:r w:rsidRPr="0058309C">
        <w:rPr>
          <w:rFonts w:ascii="Times New Roman" w:hAnsi="Times New Roman" w:cs="Times New Roman"/>
          <w:sz w:val="24"/>
          <w:szCs w:val="24"/>
        </w:rPr>
        <w:t xml:space="preserve"> The next highest states are Paraná (PR) and Minas Gerais (MG), followed by Rio de Janeiro (RJ) and Santa Catarina (SC). These states appear to be significant markets as well.</w:t>
      </w:r>
    </w:p>
    <w:p w14:paraId="1F2A7778" w14:textId="77777777" w:rsidR="0058309C" w:rsidRPr="0058309C" w:rsidRDefault="0058309C" w:rsidP="0058309C">
      <w:pPr>
        <w:tabs>
          <w:tab w:val="left" w:pos="1512"/>
        </w:tabs>
        <w:rPr>
          <w:rFonts w:ascii="Times New Roman" w:hAnsi="Times New Roman" w:cs="Times New Roman"/>
          <w:sz w:val="24"/>
          <w:szCs w:val="24"/>
        </w:rPr>
      </w:pPr>
      <w:r w:rsidRPr="0058309C">
        <w:rPr>
          <w:rFonts w:ascii="Times New Roman" w:hAnsi="Times New Roman" w:cs="Times New Roman"/>
          <w:b/>
          <w:bCs/>
          <w:sz w:val="24"/>
          <w:szCs w:val="24"/>
        </w:rPr>
        <w:t>Lower Sales in the North and Northeast:</w:t>
      </w:r>
      <w:r w:rsidRPr="0058309C">
        <w:rPr>
          <w:rFonts w:ascii="Times New Roman" w:hAnsi="Times New Roman" w:cs="Times New Roman"/>
          <w:sz w:val="24"/>
          <w:szCs w:val="24"/>
        </w:rPr>
        <w:t xml:space="preserve"> States like Amazonas (AM), Sergipe (SE), and Pará (PA) have the lowest total sales, which might reflect differences in economic activity, population, or internet penetration rates.</w:t>
      </w:r>
    </w:p>
    <w:p w14:paraId="3B360831" w14:textId="77777777" w:rsidR="0058309C" w:rsidRPr="0058309C" w:rsidRDefault="0058309C" w:rsidP="0058309C">
      <w:pPr>
        <w:tabs>
          <w:tab w:val="left" w:pos="1512"/>
        </w:tabs>
        <w:rPr>
          <w:rFonts w:ascii="Times New Roman" w:hAnsi="Times New Roman" w:cs="Times New Roman"/>
          <w:sz w:val="24"/>
          <w:szCs w:val="24"/>
        </w:rPr>
      </w:pPr>
      <w:r w:rsidRPr="0058309C">
        <w:rPr>
          <w:rFonts w:ascii="Times New Roman" w:hAnsi="Times New Roman" w:cs="Times New Roman"/>
          <w:b/>
          <w:bCs/>
          <w:sz w:val="24"/>
          <w:szCs w:val="24"/>
        </w:rPr>
        <w:t>Regional Disparities:</w:t>
      </w:r>
      <w:r w:rsidRPr="0058309C">
        <w:rPr>
          <w:rFonts w:ascii="Times New Roman" w:hAnsi="Times New Roman" w:cs="Times New Roman"/>
          <w:sz w:val="24"/>
          <w:szCs w:val="24"/>
        </w:rPr>
        <w:t xml:space="preserve"> The disparity between the highest sales in SP and the lowest in other states suggests regional differences in economic activity. Companies may need to tailor their strategies accordingly, considering factors such as logistics, local demand, and purchasing power.</w:t>
      </w:r>
    </w:p>
    <w:p w14:paraId="22E51239" w14:textId="4EC8693A" w:rsidR="0058309C" w:rsidRPr="0058309C" w:rsidRDefault="0058309C" w:rsidP="0058309C">
      <w:pPr>
        <w:tabs>
          <w:tab w:val="left" w:pos="1512"/>
        </w:tabs>
        <w:rPr>
          <w:rFonts w:ascii="Times New Roman" w:hAnsi="Times New Roman" w:cs="Times New Roman"/>
          <w:sz w:val="24"/>
          <w:szCs w:val="24"/>
        </w:rPr>
      </w:pPr>
      <w:r w:rsidRPr="0058309C">
        <w:rPr>
          <w:rFonts w:ascii="Times New Roman" w:hAnsi="Times New Roman" w:cs="Times New Roman"/>
          <w:b/>
          <w:bCs/>
          <w:sz w:val="24"/>
          <w:szCs w:val="24"/>
        </w:rPr>
        <w:t>Middle Performers:</w:t>
      </w:r>
      <w:r w:rsidRPr="0058309C">
        <w:rPr>
          <w:rFonts w:ascii="Times New Roman" w:hAnsi="Times New Roman" w:cs="Times New Roman"/>
          <w:sz w:val="24"/>
          <w:szCs w:val="24"/>
        </w:rPr>
        <w:t xml:space="preserve"> States like Bahia (BA), Rio Grande do Sul (RS), and the Federal District (DF) show moderate performance. </w:t>
      </w:r>
      <w:r w:rsidRPr="0058309C">
        <w:rPr>
          <w:rFonts w:ascii="Times New Roman" w:hAnsi="Times New Roman" w:cs="Times New Roman"/>
          <w:sz w:val="24"/>
          <w:szCs w:val="24"/>
        </w:rPr>
        <w:t>Analysing</w:t>
      </w:r>
      <w:r w:rsidRPr="0058309C">
        <w:rPr>
          <w:rFonts w:ascii="Times New Roman" w:hAnsi="Times New Roman" w:cs="Times New Roman"/>
          <w:sz w:val="24"/>
          <w:szCs w:val="24"/>
        </w:rPr>
        <w:t xml:space="preserve"> factors contributing to sales in these areas could provide insights for increasing sales in states with similar demographics and economic conditions.</w:t>
      </w:r>
    </w:p>
    <w:p w14:paraId="105079A6" w14:textId="48F8E70E" w:rsidR="00493BCD" w:rsidRDefault="0058309C" w:rsidP="0058309C">
      <w:pPr>
        <w:tabs>
          <w:tab w:val="left" w:pos="1512"/>
        </w:tabs>
        <w:rPr>
          <w:rFonts w:ascii="Times New Roman" w:hAnsi="Times New Roman" w:cs="Times New Roman"/>
          <w:sz w:val="24"/>
          <w:szCs w:val="24"/>
        </w:rPr>
      </w:pPr>
      <w:r w:rsidRPr="0058309C">
        <w:rPr>
          <w:rFonts w:ascii="Times New Roman" w:hAnsi="Times New Roman" w:cs="Times New Roman"/>
          <w:b/>
          <w:bCs/>
          <w:sz w:val="24"/>
          <w:szCs w:val="24"/>
        </w:rPr>
        <w:t>Growth Opportunities:</w:t>
      </w:r>
      <w:r w:rsidRPr="0058309C">
        <w:rPr>
          <w:rFonts w:ascii="Times New Roman" w:hAnsi="Times New Roman" w:cs="Times New Roman"/>
          <w:sz w:val="24"/>
          <w:szCs w:val="24"/>
        </w:rPr>
        <w:t xml:space="preserve"> States with lower sales figures might represent untapped markets or areas where the company could expand its footprint. Investments in marketing, distribution networks, or partnerships could be considered to enhance market presence.</w:t>
      </w:r>
    </w:p>
    <w:p w14:paraId="4CD14A25" w14:textId="77777777" w:rsidR="0058309C" w:rsidRDefault="0058309C" w:rsidP="0058309C">
      <w:pPr>
        <w:tabs>
          <w:tab w:val="left" w:pos="1512"/>
        </w:tabs>
        <w:rPr>
          <w:rFonts w:ascii="Times New Roman" w:hAnsi="Times New Roman" w:cs="Times New Roman"/>
          <w:sz w:val="24"/>
          <w:szCs w:val="24"/>
        </w:rPr>
      </w:pPr>
    </w:p>
    <w:p w14:paraId="33F8FB01" w14:textId="77777777" w:rsidR="0058309C" w:rsidRDefault="0058309C" w:rsidP="0058309C">
      <w:pPr>
        <w:tabs>
          <w:tab w:val="left" w:pos="1512"/>
        </w:tabs>
        <w:rPr>
          <w:rFonts w:ascii="Times New Roman" w:hAnsi="Times New Roman" w:cs="Times New Roman"/>
          <w:sz w:val="24"/>
          <w:szCs w:val="24"/>
        </w:rPr>
      </w:pPr>
    </w:p>
    <w:p w14:paraId="36C173E8" w14:textId="3018BC69" w:rsidR="00DC2D44" w:rsidRDefault="00DC2D44" w:rsidP="0058309C">
      <w:pPr>
        <w:tabs>
          <w:tab w:val="left" w:pos="1512"/>
        </w:tabs>
        <w:rPr>
          <w:rFonts w:ascii="Times New Roman" w:hAnsi="Times New Roman" w:cs="Times New Roman"/>
          <w:sz w:val="24"/>
          <w:szCs w:val="24"/>
        </w:rPr>
      </w:pPr>
      <w:r w:rsidRPr="00DC2D44">
        <w:rPr>
          <w:rFonts w:ascii="Times New Roman" w:hAnsi="Times New Roman" w:cs="Times New Roman"/>
          <w:sz w:val="24"/>
          <w:szCs w:val="24"/>
        </w:rPr>
        <w:lastRenderedPageBreak/>
        <w:drawing>
          <wp:inline distT="0" distB="0" distL="0" distR="0" wp14:anchorId="4000DE2A" wp14:editId="4774095B">
            <wp:extent cx="5731510" cy="3148965"/>
            <wp:effectExtent l="0" t="0" r="2540" b="0"/>
            <wp:docPr id="141124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43847" name=""/>
                    <pic:cNvPicPr/>
                  </pic:nvPicPr>
                  <pic:blipFill>
                    <a:blip r:embed="rId9"/>
                    <a:stretch>
                      <a:fillRect/>
                    </a:stretch>
                  </pic:blipFill>
                  <pic:spPr>
                    <a:xfrm>
                      <a:off x="0" y="0"/>
                      <a:ext cx="5731510" cy="3148965"/>
                    </a:xfrm>
                    <a:prstGeom prst="rect">
                      <a:avLst/>
                    </a:prstGeom>
                  </pic:spPr>
                </pic:pic>
              </a:graphicData>
            </a:graphic>
          </wp:inline>
        </w:drawing>
      </w:r>
    </w:p>
    <w:p w14:paraId="31D98D08" w14:textId="77777777" w:rsidR="00DC2D44" w:rsidRPr="00DC2D44" w:rsidRDefault="00DC2D44" w:rsidP="00DC2D44">
      <w:pPr>
        <w:tabs>
          <w:tab w:val="left" w:pos="1512"/>
        </w:tabs>
        <w:rPr>
          <w:rFonts w:ascii="Times New Roman" w:hAnsi="Times New Roman" w:cs="Times New Roman"/>
          <w:sz w:val="24"/>
          <w:szCs w:val="24"/>
        </w:rPr>
      </w:pPr>
      <w:r w:rsidRPr="00DC2D44">
        <w:rPr>
          <w:rFonts w:ascii="Times New Roman" w:hAnsi="Times New Roman" w:cs="Times New Roman"/>
          <w:sz w:val="24"/>
          <w:szCs w:val="24"/>
        </w:rPr>
        <w:t>Here are some observations and potential insights:</w:t>
      </w:r>
    </w:p>
    <w:p w14:paraId="4402CAE4" w14:textId="77777777" w:rsidR="00DC2D44" w:rsidRDefault="00DC2D44" w:rsidP="00DC2D44">
      <w:pPr>
        <w:tabs>
          <w:tab w:val="left" w:pos="1512"/>
        </w:tabs>
        <w:rPr>
          <w:rFonts w:ascii="Times New Roman" w:hAnsi="Times New Roman" w:cs="Times New Roman"/>
          <w:sz w:val="24"/>
          <w:szCs w:val="24"/>
        </w:rPr>
      </w:pPr>
    </w:p>
    <w:p w14:paraId="77455574" w14:textId="1D7F9EFB" w:rsidR="00DC2D44" w:rsidRPr="00DC2D44" w:rsidRDefault="00DC2D44" w:rsidP="00DC2D44">
      <w:pPr>
        <w:tabs>
          <w:tab w:val="left" w:pos="1512"/>
        </w:tabs>
        <w:rPr>
          <w:rFonts w:ascii="Times New Roman" w:hAnsi="Times New Roman" w:cs="Times New Roman"/>
          <w:sz w:val="24"/>
          <w:szCs w:val="24"/>
        </w:rPr>
      </w:pPr>
      <w:r w:rsidRPr="00DC2D44">
        <w:rPr>
          <w:rFonts w:ascii="Times New Roman" w:hAnsi="Times New Roman" w:cs="Times New Roman"/>
          <w:b/>
          <w:bCs/>
          <w:sz w:val="24"/>
          <w:szCs w:val="24"/>
        </w:rPr>
        <w:t>Sales Variability:</w:t>
      </w:r>
      <w:r w:rsidRPr="00DC2D44">
        <w:rPr>
          <w:rFonts w:ascii="Times New Roman" w:hAnsi="Times New Roman" w:cs="Times New Roman"/>
          <w:sz w:val="24"/>
          <w:szCs w:val="24"/>
        </w:rPr>
        <w:t xml:space="preserve"> </w:t>
      </w:r>
      <w:proofErr w:type="gramStart"/>
      <w:r w:rsidRPr="00DC2D44">
        <w:rPr>
          <w:rFonts w:ascii="Times New Roman" w:hAnsi="Times New Roman" w:cs="Times New Roman"/>
          <w:sz w:val="24"/>
          <w:szCs w:val="24"/>
        </w:rPr>
        <w:t>There's</w:t>
      </w:r>
      <w:proofErr w:type="gramEnd"/>
      <w:r w:rsidRPr="00DC2D44">
        <w:rPr>
          <w:rFonts w:ascii="Times New Roman" w:hAnsi="Times New Roman" w:cs="Times New Roman"/>
          <w:sz w:val="24"/>
          <w:szCs w:val="24"/>
        </w:rPr>
        <w:t xml:space="preserve"> a wide range in the sales figures across different quarters, suggesting variability in sales performance. For instance, sales in the first quarter of 2016 are significantly higher than in any other quarter.</w:t>
      </w:r>
    </w:p>
    <w:p w14:paraId="39EC473E" w14:textId="77777777" w:rsidR="00DC2D44" w:rsidRPr="00DC2D44" w:rsidRDefault="00DC2D44" w:rsidP="00DC2D44">
      <w:pPr>
        <w:tabs>
          <w:tab w:val="left" w:pos="1512"/>
        </w:tabs>
        <w:rPr>
          <w:rFonts w:ascii="Times New Roman" w:hAnsi="Times New Roman" w:cs="Times New Roman"/>
          <w:sz w:val="24"/>
          <w:szCs w:val="24"/>
        </w:rPr>
      </w:pPr>
      <w:r w:rsidRPr="00DC2D44">
        <w:rPr>
          <w:rFonts w:ascii="Times New Roman" w:hAnsi="Times New Roman" w:cs="Times New Roman"/>
          <w:b/>
          <w:bCs/>
          <w:sz w:val="24"/>
          <w:szCs w:val="24"/>
        </w:rPr>
        <w:t>Sales Trend:</w:t>
      </w:r>
      <w:r w:rsidRPr="00DC2D44">
        <w:rPr>
          <w:rFonts w:ascii="Times New Roman" w:hAnsi="Times New Roman" w:cs="Times New Roman"/>
          <w:sz w:val="24"/>
          <w:szCs w:val="24"/>
        </w:rPr>
        <w:t xml:space="preserve"> It appears there may be an overall decreasing trend in sales when looking at the figures starting from 2017. However, </w:t>
      </w:r>
      <w:proofErr w:type="gramStart"/>
      <w:r w:rsidRPr="00DC2D44">
        <w:rPr>
          <w:rFonts w:ascii="Times New Roman" w:hAnsi="Times New Roman" w:cs="Times New Roman"/>
          <w:sz w:val="24"/>
          <w:szCs w:val="24"/>
        </w:rPr>
        <w:t>there's</w:t>
      </w:r>
      <w:proofErr w:type="gramEnd"/>
      <w:r w:rsidRPr="00DC2D44">
        <w:rPr>
          <w:rFonts w:ascii="Times New Roman" w:hAnsi="Times New Roman" w:cs="Times New Roman"/>
          <w:sz w:val="24"/>
          <w:szCs w:val="24"/>
        </w:rPr>
        <w:t xml:space="preserve"> an increase in the first quarter of 2018 that breaks this pattern.</w:t>
      </w:r>
    </w:p>
    <w:p w14:paraId="3875E8EB" w14:textId="77777777" w:rsidR="00DC2D44" w:rsidRPr="00DC2D44" w:rsidRDefault="00DC2D44" w:rsidP="00DC2D44">
      <w:pPr>
        <w:tabs>
          <w:tab w:val="left" w:pos="1512"/>
        </w:tabs>
        <w:rPr>
          <w:rFonts w:ascii="Times New Roman" w:hAnsi="Times New Roman" w:cs="Times New Roman"/>
          <w:sz w:val="24"/>
          <w:szCs w:val="24"/>
        </w:rPr>
      </w:pPr>
      <w:r w:rsidRPr="00DC2D44">
        <w:rPr>
          <w:rFonts w:ascii="Times New Roman" w:hAnsi="Times New Roman" w:cs="Times New Roman"/>
          <w:b/>
          <w:bCs/>
          <w:sz w:val="24"/>
          <w:szCs w:val="24"/>
        </w:rPr>
        <w:t>Potential Data Errors:</w:t>
      </w:r>
      <w:r w:rsidRPr="00DC2D44">
        <w:rPr>
          <w:rFonts w:ascii="Times New Roman" w:hAnsi="Times New Roman" w:cs="Times New Roman"/>
          <w:sz w:val="24"/>
          <w:szCs w:val="24"/>
        </w:rPr>
        <w:t xml:space="preserve"> The very first row with sales of over 5.7 million appears to be missing the year and quarter data, which could be an error or an aggregate figure. The magnitude of this number suggests it could be a total of all quarters.</w:t>
      </w:r>
    </w:p>
    <w:p w14:paraId="1E755F95" w14:textId="202B6B0C" w:rsidR="00DC2D44" w:rsidRPr="00DC2D44" w:rsidRDefault="00DC2D44" w:rsidP="00DC2D44">
      <w:pPr>
        <w:tabs>
          <w:tab w:val="left" w:pos="1512"/>
        </w:tabs>
        <w:rPr>
          <w:rFonts w:ascii="Times New Roman" w:hAnsi="Times New Roman" w:cs="Times New Roman"/>
          <w:sz w:val="24"/>
          <w:szCs w:val="24"/>
        </w:rPr>
      </w:pPr>
      <w:r w:rsidRPr="00DC2D44">
        <w:rPr>
          <w:rFonts w:ascii="Times New Roman" w:hAnsi="Times New Roman" w:cs="Times New Roman"/>
          <w:b/>
          <w:bCs/>
          <w:sz w:val="24"/>
          <w:szCs w:val="24"/>
        </w:rPr>
        <w:t>Seasonal Trends:</w:t>
      </w:r>
      <w:r w:rsidRPr="00DC2D44">
        <w:rPr>
          <w:rFonts w:ascii="Times New Roman" w:hAnsi="Times New Roman" w:cs="Times New Roman"/>
          <w:sz w:val="24"/>
          <w:szCs w:val="24"/>
        </w:rPr>
        <w:t xml:space="preserve"> There may be seasonal effects at play, which could be </w:t>
      </w:r>
      <w:r w:rsidRPr="00DC2D44">
        <w:rPr>
          <w:rFonts w:ascii="Times New Roman" w:hAnsi="Times New Roman" w:cs="Times New Roman"/>
          <w:sz w:val="24"/>
          <w:szCs w:val="24"/>
        </w:rPr>
        <w:t>analysed</w:t>
      </w:r>
      <w:r w:rsidRPr="00DC2D44">
        <w:rPr>
          <w:rFonts w:ascii="Times New Roman" w:hAnsi="Times New Roman" w:cs="Times New Roman"/>
          <w:sz w:val="24"/>
          <w:szCs w:val="24"/>
        </w:rPr>
        <w:t xml:space="preserve"> by looking at the performance of the same quarters over different years. For instance, is Qtr 1 consistently higher?</w:t>
      </w:r>
    </w:p>
    <w:p w14:paraId="5CE83262" w14:textId="17E0934D" w:rsidR="00DC2D44" w:rsidRDefault="00DC2D44" w:rsidP="00DC2D44">
      <w:pPr>
        <w:tabs>
          <w:tab w:val="left" w:pos="1512"/>
        </w:tabs>
        <w:rPr>
          <w:rFonts w:ascii="Times New Roman" w:hAnsi="Times New Roman" w:cs="Times New Roman"/>
          <w:sz w:val="24"/>
          <w:szCs w:val="24"/>
        </w:rPr>
      </w:pPr>
      <w:r w:rsidRPr="00DC2D44">
        <w:rPr>
          <w:rFonts w:ascii="Times New Roman" w:hAnsi="Times New Roman" w:cs="Times New Roman"/>
          <w:b/>
          <w:bCs/>
          <w:sz w:val="24"/>
          <w:szCs w:val="24"/>
        </w:rPr>
        <w:t>Quarterly Growth:</w:t>
      </w:r>
      <w:r w:rsidRPr="00DC2D44">
        <w:rPr>
          <w:rFonts w:ascii="Times New Roman" w:hAnsi="Times New Roman" w:cs="Times New Roman"/>
          <w:sz w:val="24"/>
          <w:szCs w:val="24"/>
        </w:rPr>
        <w:t xml:space="preserve"> Comparing quarters within the same year, for example, Qtr 2 to Qtr 3 in 2017, could show how sales are growing or shrinking across the year.</w:t>
      </w:r>
    </w:p>
    <w:p w14:paraId="4ABA858E" w14:textId="77777777" w:rsidR="00DC2D44" w:rsidRDefault="00DC2D44" w:rsidP="00DC2D44">
      <w:pPr>
        <w:tabs>
          <w:tab w:val="left" w:pos="1512"/>
        </w:tabs>
        <w:rPr>
          <w:rFonts w:ascii="Times New Roman" w:hAnsi="Times New Roman" w:cs="Times New Roman"/>
          <w:sz w:val="24"/>
          <w:szCs w:val="24"/>
        </w:rPr>
      </w:pPr>
    </w:p>
    <w:p w14:paraId="25347871" w14:textId="77777777" w:rsidR="00DC2D44" w:rsidRDefault="00DC2D44" w:rsidP="00DC2D44">
      <w:pPr>
        <w:tabs>
          <w:tab w:val="left" w:pos="1512"/>
        </w:tabs>
        <w:rPr>
          <w:rFonts w:ascii="Times New Roman" w:hAnsi="Times New Roman" w:cs="Times New Roman"/>
          <w:sz w:val="24"/>
          <w:szCs w:val="24"/>
        </w:rPr>
      </w:pPr>
    </w:p>
    <w:p w14:paraId="57D78667" w14:textId="77777777" w:rsidR="00DC2D44" w:rsidRPr="003D3DB8" w:rsidRDefault="00DC2D44" w:rsidP="00DC2D44">
      <w:pPr>
        <w:tabs>
          <w:tab w:val="left" w:pos="1512"/>
        </w:tabs>
        <w:rPr>
          <w:rFonts w:ascii="Times New Roman" w:hAnsi="Times New Roman" w:cs="Times New Roman"/>
          <w:sz w:val="24"/>
          <w:szCs w:val="24"/>
        </w:rPr>
      </w:pPr>
    </w:p>
    <w:p w14:paraId="1D2959C7" w14:textId="77777777" w:rsidR="008977ED" w:rsidRPr="008977ED" w:rsidRDefault="008977ED" w:rsidP="008977ED">
      <w:pPr>
        <w:tabs>
          <w:tab w:val="left" w:pos="1512"/>
        </w:tabs>
        <w:rPr>
          <w:rFonts w:ascii="Times New Roman" w:hAnsi="Times New Roman" w:cs="Times New Roman"/>
          <w:sz w:val="24"/>
          <w:szCs w:val="24"/>
        </w:rPr>
      </w:pPr>
    </w:p>
    <w:p w14:paraId="1EBBD7B2" w14:textId="77777777" w:rsidR="008977ED" w:rsidRPr="008977ED" w:rsidRDefault="008977ED" w:rsidP="008977ED">
      <w:pPr>
        <w:tabs>
          <w:tab w:val="left" w:pos="1512"/>
        </w:tabs>
        <w:rPr>
          <w:rFonts w:ascii="Times New Roman" w:hAnsi="Times New Roman" w:cs="Times New Roman"/>
          <w:sz w:val="24"/>
          <w:szCs w:val="24"/>
        </w:rPr>
      </w:pPr>
    </w:p>
    <w:sectPr w:rsidR="008977ED" w:rsidRPr="00897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0A4"/>
    <w:multiLevelType w:val="hybridMultilevel"/>
    <w:tmpl w:val="8C3C6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B76B7A"/>
    <w:multiLevelType w:val="hybridMultilevel"/>
    <w:tmpl w:val="CC3CBF3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6769BF"/>
    <w:multiLevelType w:val="multilevel"/>
    <w:tmpl w:val="3E8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3856DE"/>
    <w:multiLevelType w:val="hybridMultilevel"/>
    <w:tmpl w:val="EF0889CA"/>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35C3A1B"/>
    <w:multiLevelType w:val="hybridMultilevel"/>
    <w:tmpl w:val="65CCC1F6"/>
    <w:lvl w:ilvl="0" w:tplc="840C6AA0">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4001180">
    <w:abstractNumId w:val="2"/>
  </w:num>
  <w:num w:numId="2" w16cid:durableId="1286543201">
    <w:abstractNumId w:val="0"/>
  </w:num>
  <w:num w:numId="3" w16cid:durableId="1900942338">
    <w:abstractNumId w:val="4"/>
  </w:num>
  <w:num w:numId="4" w16cid:durableId="1687515466">
    <w:abstractNumId w:val="1"/>
  </w:num>
  <w:num w:numId="5" w16cid:durableId="1168863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ED"/>
    <w:rsid w:val="00162893"/>
    <w:rsid w:val="003D3DB8"/>
    <w:rsid w:val="00493BCD"/>
    <w:rsid w:val="004B243C"/>
    <w:rsid w:val="0058309C"/>
    <w:rsid w:val="008977ED"/>
    <w:rsid w:val="00BE6536"/>
    <w:rsid w:val="00DC2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725A"/>
  <w15:chartTrackingRefBased/>
  <w15:docId w15:val="{311903F8-6A6B-4A41-8D53-C72041E8C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50916">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735399848">
      <w:bodyDiv w:val="1"/>
      <w:marLeft w:val="0"/>
      <w:marRight w:val="0"/>
      <w:marTop w:val="0"/>
      <w:marBottom w:val="0"/>
      <w:divBdr>
        <w:top w:val="none" w:sz="0" w:space="0" w:color="auto"/>
        <w:left w:val="none" w:sz="0" w:space="0" w:color="auto"/>
        <w:bottom w:val="none" w:sz="0" w:space="0" w:color="auto"/>
        <w:right w:val="none" w:sz="0" w:space="0" w:color="auto"/>
      </w:divBdr>
    </w:div>
    <w:div w:id="1079016418">
      <w:bodyDiv w:val="1"/>
      <w:marLeft w:val="0"/>
      <w:marRight w:val="0"/>
      <w:marTop w:val="0"/>
      <w:marBottom w:val="0"/>
      <w:divBdr>
        <w:top w:val="none" w:sz="0" w:space="0" w:color="auto"/>
        <w:left w:val="none" w:sz="0" w:space="0" w:color="auto"/>
        <w:bottom w:val="none" w:sz="0" w:space="0" w:color="auto"/>
        <w:right w:val="none" w:sz="0" w:space="0" w:color="auto"/>
      </w:divBdr>
    </w:div>
    <w:div w:id="148007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rawat</dc:creator>
  <cp:keywords/>
  <dc:description/>
  <cp:lastModifiedBy>pradeep rawat</cp:lastModifiedBy>
  <cp:revision>1</cp:revision>
  <dcterms:created xsi:type="dcterms:W3CDTF">2024-04-21T15:20:00Z</dcterms:created>
  <dcterms:modified xsi:type="dcterms:W3CDTF">2024-04-21T16:43:00Z</dcterms:modified>
</cp:coreProperties>
</file>