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1e0d798b780ac81d2bf2e58c949398cefa67ce"/>
    <w:p>
      <w:pPr>
        <w:pStyle w:val="Heading1"/>
      </w:pPr>
      <w:r>
        <w:t xml:space="preserve">KLAC KLA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v20261014-0758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2026-10-14 07:58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$184.00｜市值</w:t>
      </w:r>
      <w:r>
        <w:t xml:space="preserve"> 240.1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KLA在检测量测几乎寡占，先进制程/HBM/先进封装复杂度提升使检测强度上升；高ROIC、强回购。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Process control / inspection </w:t>
      </w:r>
      <w:r>
        <w:rPr>
          <w:rFonts w:hint="eastAsia"/>
        </w:rPr>
        <w:t xml:space="preserve">量测检测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Semiconductor process control </w:t>
      </w:r>
      <w:r>
        <w:rPr>
          <w:rFonts w:hint="eastAsia"/>
        </w:rPr>
        <w:t xml:space="preserve">半导体过程控制；Specialty</w:t>
      </w:r>
      <w:r>
        <w:t xml:space="preserve"> semi process </w:t>
      </w:r>
      <w:r>
        <w:rPr>
          <w:rFonts w:hint="eastAsia"/>
        </w:rPr>
        <w:t xml:space="preserve">特种工艺；PCB</w:t>
      </w:r>
      <w:r>
        <w:t xml:space="preserve">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4.9 bn </w:t>
      </w:r>
      <w:r>
        <w:rPr>
          <w:rFonts w:hint="eastAsia"/>
        </w:rPr>
        <w:t xml:space="preserve">USD；总负债</w:t>
      </w:r>
      <w:r>
        <w:t xml:space="preserve"> 6.2 bn </w:t>
      </w:r>
      <w:r>
        <w:rPr>
          <w:rFonts w:hint="eastAsia"/>
        </w:rPr>
        <w:t xml:space="preserve">USD；净现金</w:t>
      </w:r>
      <w:r>
        <w:t xml:space="preserve"> -1.2 bn USD。TTM FCF 3.8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27.7%）。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1.17822（22位分析师）；收入一致预期</w:t>
      </w:r>
      <w:r>
        <w:t xml:space="preserve"> 4.0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$43.77</w:t>
            </w:r>
          </w:p>
        </w:tc>
        <w:tc>
          <w:tcPr/>
          <w:p>
            <w:pPr>
              <w:pStyle w:val="Compact"/>
            </w:pPr>
            <w:r>
              <w:t xml:space="preserve">-76.2%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$89.50</w:t>
            </w:r>
          </w:p>
        </w:tc>
        <w:tc>
          <w:tcPr/>
          <w:p>
            <w:pPr>
              <w:pStyle w:val="Compact"/>
            </w:pPr>
            <w:r>
              <w:t xml:space="preserve">-51.4%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$141.59</w:t>
            </w:r>
          </w:p>
        </w:tc>
        <w:tc>
          <w:tcPr/>
          <w:p>
            <w:pPr>
              <w:pStyle w:val="Compact"/>
            </w:pPr>
            <w:r>
              <w:t xml:space="preserve">-23.0%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$42.41</w:t>
            </w:r>
          </w:p>
        </w:tc>
        <w:tc>
          <w:tcPr/>
          <w:p>
            <w:pPr>
              <w:pStyle w:val="Compact"/>
            </w:pPr>
            <w:r>
              <w:t xml:space="preserve">-77.0%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$92.84</w:t>
            </w:r>
          </w:p>
        </w:tc>
        <w:tc>
          <w:tcPr/>
          <w:p>
            <w:pPr>
              <w:pStyle w:val="Compact"/>
            </w:pPr>
            <w:r>
              <w:t xml:space="preserve">-49.5%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$152.87</w:t>
            </w:r>
          </w:p>
        </w:tc>
        <w:tc>
          <w:tcPr/>
          <w:p>
            <w:pPr>
              <w:pStyle w:val="Compact"/>
            </w:pPr>
            <w:r>
              <w:t xml:space="preserve">-16.9%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$41.08</w:t>
            </w:r>
          </w:p>
        </w:tc>
        <w:tc>
          <w:tcPr/>
          <w:p>
            <w:pPr>
              <w:pStyle w:val="Compact"/>
            </w:pPr>
            <w:r>
              <w:t xml:space="preserve">-77.7%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$96.30</w:t>
            </w:r>
          </w:p>
        </w:tc>
        <w:tc>
          <w:tcPr/>
          <w:p>
            <w:pPr>
              <w:pStyle w:val="Compact"/>
            </w:pPr>
            <w:r>
              <w:t xml:space="preserve">-47.7%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$164.95</w:t>
            </w:r>
          </w:p>
        </w:tc>
        <w:tc>
          <w:tcPr/>
          <w:p>
            <w:pPr>
              <w:pStyle w:val="Compact"/>
            </w:pPr>
            <w:r>
              <w:t xml:space="preserve">-10.4%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$39.79</w:t>
            </w:r>
          </w:p>
        </w:tc>
        <w:tc>
          <w:tcPr/>
          <w:p>
            <w:pPr>
              <w:pStyle w:val="Compact"/>
            </w:pPr>
            <w:r>
              <w:t xml:space="preserve">-78.4%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$99.87</w:t>
            </w:r>
          </w:p>
        </w:tc>
        <w:tc>
          <w:tcPr/>
          <w:p>
            <w:pPr>
              <w:pStyle w:val="Compact"/>
            </w:pPr>
            <w:r>
              <w:t xml:space="preserve">-45.7%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$177.88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48.2x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43.9x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39.9x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36.3x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$30.09</w:t>
            </w:r>
          </w:p>
        </w:tc>
        <w:tc>
          <w:tcPr/>
          <w:p>
            <w:pPr>
              <w:pStyle w:val="Compact"/>
            </w:pPr>
            <w:r>
              <w:t xml:space="preserve">-83.6%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$60.83</w:t>
            </w:r>
          </w:p>
        </w:tc>
        <w:tc>
          <w:tcPr/>
          <w:p>
            <w:pPr>
              <w:pStyle w:val="Compact"/>
            </w:pPr>
            <w:r>
              <w:t xml:space="preserve">-66.9%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$95.86</w:t>
            </w:r>
          </w:p>
        </w:tc>
        <w:tc>
          <w:tcPr/>
          <w:p>
            <w:pPr>
              <w:pStyle w:val="Compact"/>
            </w:pPr>
            <w:r>
              <w:t xml:space="preserve">-47.9%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$61.90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-66.4%）。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80.6 bn </w:t>
      </w:r>
      <w:r>
        <w:rPr>
          <w:rFonts w:hint="eastAsia"/>
        </w:rPr>
        <w:t xml:space="preserve">USD；终值占比</w:t>
      </w:r>
      <w:r>
        <w:t xml:space="preserve"> 47.5%。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49.9%</w:t>
      </w:r>
      <w:r>
        <w:rPr>
          <w:rFonts w:hint="eastAsia"/>
        </w:rPr>
        <w:t xml:space="preserve">；一致预期FY+1增速</w:t>
      </w:r>
      <w:r>
        <w:t xml:space="preserve"> 18.9%。</w:t>
      </w:r>
    </w:p>
    <w:p>
      <w:pPr>
        <w:numPr>
          <w:ilvl w:val="0"/>
          <w:numId w:val="1005"/>
        </w:numPr>
      </w:pPr>
      <w:r>
        <w:t xml:space="preserve">WACC (CAPM) = rf 5.2% + β 1.45 × ERP 5.0% = 12.5%。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KLAC | 240.1 bn USD | 17.8x | 27.3x | 15.2% | 61.3% | 1.6% |</w:t>
      </w:r>
      <w:r>
        <w:t xml:space="preserve"> </w:t>
      </w:r>
      <w:r>
        <w:t xml:space="preserve">| AMAT | 368.4 bn USD | 11.9x | 25.1x | 24.8% | 49.4% | 0.8% |</w:t>
      </w:r>
      <w:r>
        <w:t xml:space="preserve"> </w:t>
      </w:r>
      <w:r>
        <w:t xml:space="preserve">| LRCX | 376.8 bn USD | 16.2x | 25.6x | 30.0% | 50.5% | 0.8% |</w:t>
      </w:r>
      <w:r>
        <w:t xml:space="preserve"> </w:t>
      </w:r>
      <w:r>
        <w:t xml:space="preserve">| ASML | 659.8 bn USD | 1037.4x | 29.2x | 21.3% | 52.7% | 1.3% |</w:t>
      </w:r>
      <w:r>
        <w:t xml:space="preserve"> </w:t>
      </w:r>
      <w:r>
        <w:t xml:space="preserve">| 8035.T | 27,040.6 bn USD | 9.8x | 9.0x | 33.3% | 45.6% | 1.1%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2026-10-14T07:58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2.401e+11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4.902e+09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6.152e+09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1.358e+10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3.767e+09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1.447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0.0524</w:t>
            </w:r>
          </w:p>
        </w:tc>
        <w:tc>
          <w:tcPr/>
          <w:p>
            <w:pPr>
              <w:pStyle w:val="Compact"/>
            </w:pPr>
            <w:r>
              <w:t xml:space="preserve">FRED DGS10 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1.45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0.2774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KLAC_model_v20261014-0758.xlsx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data/snapshots/20261014-0758</w:t>
      </w:r>
      <w:r>
        <w:t xml:space="preserve"> </w:t>
      </w:r>
      <w:r>
        <w:t xml:space="preserve">(immutable) | Fetched 2026-10-14 07:58 SGT | Generated 2026-10-14 07:59 SGT</w:t>
      </w:r>
    </w:p>
    <w:p>
      <w:pPr>
        <w:pStyle w:val="Compact"/>
        <w:numPr>
          <w:ilvl w:val="0"/>
          <w:numId w:val="1007"/>
        </w:numPr>
      </w:pPr>
      <w:r>
        <w:t xml:space="preserve">Version: v20261014-0758.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v20261014-0758: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KLA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KLA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KLA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KLA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KLA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a5212292a907a406e687852e48ae46a11493a00"/>
    <w:p>
      <w:pPr>
        <w:pStyle w:val="Heading1"/>
      </w:pPr>
      <w:r>
        <w:t xml:space="preserve">KLAC KLA Corporation — Equity Deep Dive (Professional English) v20261014-0758</w:t>
      </w:r>
    </w:p>
    <w:p>
      <w:pPr>
        <w:pStyle w:val="BlockText"/>
      </w:pPr>
      <w:r>
        <w:t xml:space="preserve">Data as of 2026-10-14 07:58 SGT | Price $184.00 | Mkt cap 240.1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KLA is a near-oligopoly in inspection/metrology; rising complexity at leading-edge, HBM and advanced packaging increases process-control intensity. High ROIC, strong buybacks.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Process control / inspection </w:t>
      </w:r>
      <w:r>
        <w:rPr>
          <w:rFonts w:hint="eastAsia"/>
        </w:rPr>
        <w:t xml:space="preserve">量测检测</w:t>
      </w:r>
      <w:r>
        <w:t xml:space="preserve"> |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10"/>
        </w:numPr>
      </w:pPr>
      <w:r>
        <w:t xml:space="preserve">Customers: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11"/>
        </w:numPr>
      </w:pPr>
      <w:r>
        <w:t xml:space="preserve">Competitors: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11"/>
        </w:numPr>
      </w:pPr>
      <w:r>
        <w:t xml:space="preserve">Bottlenecks/regulation: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11"/>
        </w:numPr>
      </w:pPr>
      <w:r>
        <w:t xml:space="preserve">KPIs: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4.9 bn USD; debt 6.2 bn USD; TTM FCF 3.8 bn USD (FCF margin 27.7%).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1.17822 (22 analysts); revenue consensus 4.0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$43.77</w:t>
            </w:r>
          </w:p>
        </w:tc>
        <w:tc>
          <w:tcPr/>
          <w:p>
            <w:pPr>
              <w:pStyle w:val="Compact"/>
            </w:pPr>
            <w:r>
              <w:t xml:space="preserve">-76.2%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$89.50</w:t>
            </w:r>
          </w:p>
        </w:tc>
        <w:tc>
          <w:tcPr/>
          <w:p>
            <w:pPr>
              <w:pStyle w:val="Compact"/>
            </w:pPr>
            <w:r>
              <w:t xml:space="preserve">-51.4%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$141.59</w:t>
            </w:r>
          </w:p>
        </w:tc>
        <w:tc>
          <w:tcPr/>
          <w:p>
            <w:pPr>
              <w:pStyle w:val="Compact"/>
            </w:pPr>
            <w:r>
              <w:t xml:space="preserve">-23.0%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$42.41</w:t>
            </w:r>
          </w:p>
        </w:tc>
        <w:tc>
          <w:tcPr/>
          <w:p>
            <w:pPr>
              <w:pStyle w:val="Compact"/>
            </w:pPr>
            <w:r>
              <w:t xml:space="preserve">-77.0%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$92.84</w:t>
            </w:r>
          </w:p>
        </w:tc>
        <w:tc>
          <w:tcPr/>
          <w:p>
            <w:pPr>
              <w:pStyle w:val="Compact"/>
            </w:pPr>
            <w:r>
              <w:t xml:space="preserve">-49.5%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$152.87</w:t>
            </w:r>
          </w:p>
        </w:tc>
        <w:tc>
          <w:tcPr/>
          <w:p>
            <w:pPr>
              <w:pStyle w:val="Compact"/>
            </w:pPr>
            <w:r>
              <w:t xml:space="preserve">-16.9%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$41.08</w:t>
            </w:r>
          </w:p>
        </w:tc>
        <w:tc>
          <w:tcPr/>
          <w:p>
            <w:pPr>
              <w:pStyle w:val="Compact"/>
            </w:pPr>
            <w:r>
              <w:t xml:space="preserve">-77.7%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$96.30</w:t>
            </w:r>
          </w:p>
        </w:tc>
        <w:tc>
          <w:tcPr/>
          <w:p>
            <w:pPr>
              <w:pStyle w:val="Compact"/>
            </w:pPr>
            <w:r>
              <w:t xml:space="preserve">-47.7%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$164.95</w:t>
            </w:r>
          </w:p>
        </w:tc>
        <w:tc>
          <w:tcPr/>
          <w:p>
            <w:pPr>
              <w:pStyle w:val="Compact"/>
            </w:pPr>
            <w:r>
              <w:t xml:space="preserve">-10.4%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$39.79</w:t>
            </w:r>
          </w:p>
        </w:tc>
        <w:tc>
          <w:tcPr/>
          <w:p>
            <w:pPr>
              <w:pStyle w:val="Compact"/>
            </w:pPr>
            <w:r>
              <w:t xml:space="preserve">-78.4%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$99.87</w:t>
            </w:r>
          </w:p>
        </w:tc>
        <w:tc>
          <w:tcPr/>
          <w:p>
            <w:pPr>
              <w:pStyle w:val="Compact"/>
            </w:pPr>
            <w:r>
              <w:t xml:space="preserve">-45.7%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$177.88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48.2x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43.9x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39.9x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36.3x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$30.09</w:t>
            </w:r>
          </w:p>
        </w:tc>
        <w:tc>
          <w:tcPr/>
          <w:p>
            <w:pPr>
              <w:pStyle w:val="Compact"/>
            </w:pPr>
            <w:r>
              <w:t xml:space="preserve">-83.6%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$60.83</w:t>
            </w:r>
          </w:p>
        </w:tc>
        <w:tc>
          <w:tcPr/>
          <w:p>
            <w:pPr>
              <w:pStyle w:val="Compact"/>
            </w:pPr>
            <w:r>
              <w:t xml:space="preserve">-66.9%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$95.86</w:t>
            </w:r>
          </w:p>
        </w:tc>
        <w:tc>
          <w:tcPr/>
          <w:p>
            <w:pPr>
              <w:pStyle w:val="Compact"/>
            </w:pPr>
            <w:r>
              <w:t xml:space="preserve">-47.9%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$61.90</w:t>
      </w:r>
      <w:r>
        <w:t xml:space="preserve"> </w:t>
      </w:r>
      <w:r>
        <w:t xml:space="preserve">(-66.4%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80.6 bn USD; terminal share 47.5%.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49.9%</w:t>
      </w:r>
      <w:r>
        <w:t xml:space="preserve"> </w:t>
      </w:r>
      <w:r>
        <w:t xml:space="preserve">vs consensus FY+1 18.9%.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1.45 × ERP 5.0% = 12.5%.</w:t>
      </w:r>
    </w:p>
    <w:p>
      <w:pPr>
        <w:pStyle w:val="Compact"/>
        <w:numPr>
          <w:ilvl w:val="0"/>
          <w:numId w:val="1013"/>
        </w:numPr>
      </w:pPr>
      <w:r>
        <w:t xml:space="preserve">SOTP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| Falsifiers: WFE outlook cut; process-control share </w:t>
      </w:r>
      <w:r>
        <w:rPr>
          <w:rFonts w:hint="eastAsia"/>
        </w:rPr>
        <w:t xml:space="preserve">loss｜WFE展望下修；份额流失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KLAC_model_v20261014-0758.xlsx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data/snapshots/20261014-0758</w:t>
      </w:r>
      <w:r>
        <w:t xml:space="preserve"> </w:t>
      </w:r>
      <w:r>
        <w:t xml:space="preserve">(immutable) | Fetched 2026-10-14 07:58 SGT | Generated 2026-10-14 07:59 SGT</w:t>
      </w:r>
      <w:r>
        <w:t xml:space="preserve"> </w:t>
      </w:r>
      <w:r>
        <w:t xml:space="preserve">- Version: v20261014-0758.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2026-10-14T00:00:25Z</dcterms:created>
  <dcterms:modified xsi:type="dcterms:W3CDTF">2026-10-14T00:00:25Z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