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2d3eebf614e7d5414a0fedf9ff8480cef75909"/>
    <w:p>
      <w:pPr>
        <w:pStyle w:val="Heading1"/>
      </w:pPr>
      <w:r>
        <w:t xml:space="preserve">PWR Quanta Services, Inc.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v2.1）v20261014-0758-think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2026-10-14 07:58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v20261014-0758（同一快照，未改动）｜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Quanta Services, Inc.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$688.88；距</w:t>
      </w:r>
      <w:r>
        <w:t xml:space="preserve"> 2026-05-06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-11.5%。主题：Power</w:t>
      </w:r>
      <w:r>
        <w:t xml:space="preserve"> grid / utility infrastructure </w:t>
      </w:r>
      <w:r>
        <w:rPr>
          <w:rFonts w:hint="eastAsia"/>
        </w:rPr>
        <w:t xml:space="preserve">电网基建。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43.9%，一致预期</w:t>
      </w:r>
      <w:r>
        <w:t xml:space="preserve"> </w:t>
      </w:r>
      <w:r>
        <w:rPr>
          <w:rFonts w:hint="eastAsia"/>
        </w:rPr>
        <w:t xml:space="preserve">15.8%；三情景价值</w:t>
      </w:r>
      <w:r>
        <w:t xml:space="preserve"> $101/$225/$363。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2026-10-29（TENTATIVE</w:t>
      </w:r>
      <w:r>
        <w:t xml:space="preserve"> </w:t>
      </w:r>
      <w:r>
        <w:rPr>
          <w:rFonts w:hint="eastAsia"/>
        </w:rPr>
        <w:t xml:space="preserve">直至公司确认）；盯：积压订单、调整后EBITDA利润率、电力业务增速。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v20261014-0758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Power grid / utility infrastructure </w:t>
      </w:r>
      <w:r>
        <w:rPr>
          <w:rFonts w:hint="eastAsia"/>
        </w:rPr>
        <w:t xml:space="preserve">电网基建。持有者在乎的是：Quanta是’AI→电力需求→电网投资’传导链上的劳动力瓶颈龙头；电力公司资本开支计划是领先指标。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43.9%，一致预期</w:t>
      </w:r>
      <w:r>
        <w:t xml:space="preserve"> </w:t>
      </w:r>
      <w:r>
        <w:rPr>
          <w:rFonts w:hint="eastAsia"/>
        </w:rPr>
        <w:t xml:space="preserve">15.8%——市场定价比分析师更乐观。跑率/静态</w:t>
      </w:r>
      <w:r>
        <w:t xml:space="preserve"> P/E </w:t>
      </w:r>
      <w:r>
        <w:rPr>
          <w:rFonts w:hint="eastAsia"/>
        </w:rPr>
        <w:t xml:space="preserve">78.9×、前瞻</w:t>
      </w:r>
      <w:r>
        <w:t xml:space="preserve"> P/E </w:t>
      </w:r>
      <w:r>
        <w:rPr>
          <w:rFonts w:hint="eastAsia"/>
        </w:rPr>
        <w:t xml:space="preserve">34.7×（Yahoo）。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41.1%）→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16.2%）→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断点：Interconnection</w:t>
      </w:r>
      <w:r>
        <w:t xml:space="preserve"> queues, transformer lead times, skilled </w:t>
      </w:r>
      <w:r>
        <w:rPr>
          <w:rFonts w:hint="eastAsia"/>
        </w:rPr>
        <w:t xml:space="preserve">labor｜并网排队、变压器交期、技工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Backlog growth stalls; utility capex </w:t>
      </w:r>
      <w:r>
        <w:rPr>
          <w:rFonts w:hint="eastAsia"/>
        </w:rPr>
        <w:t xml:space="preserve">cut｜积压停滞；电力Capex下修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折现。PWR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11.6%；最新季度毛利率</w:t>
      </w:r>
      <w:r>
        <w:t xml:space="preserve"> </w:t>
      </w:r>
      <w:r>
        <w:rPr>
          <w:rFonts w:hint="eastAsia"/>
        </w:rPr>
        <w:t xml:space="preserve">16.2%；收入同比</w:t>
      </w:r>
      <w:r>
        <w:t xml:space="preserve"> </w:t>
      </w:r>
      <w:r>
        <w:rPr>
          <w:rFonts w:hint="eastAsia"/>
        </w:rPr>
        <w:t xml:space="preserve">41.1%。新闻多数改变的是现金流预期，而非折现率。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竞争者：MasTec,</w:t>
      </w:r>
      <w:r>
        <w:t xml:space="preserve"> MYR, Primoris, utility in-house </w:t>
      </w:r>
      <w:r>
        <w:rPr>
          <w:rFonts w:hint="eastAsia"/>
        </w:rPr>
        <w:t xml:space="preserve">crews｜MasTec、MYR、Primoris。客户：Utilities,</w:t>
      </w:r>
      <w:r>
        <w:t xml:space="preserve"> hyperscalers (via utilities), renewable </w:t>
      </w:r>
      <w:r>
        <w:rPr>
          <w:rFonts w:hint="eastAsia"/>
        </w:rPr>
        <w:t xml:space="preserve">developers｜电力公司、云厂、可再生开发商。若</w:t>
      </w:r>
      <w:r>
        <w:t xml:space="preserve"> PWR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看多会错，如果：Permitting</w:t>
      </w:r>
      <w:r>
        <w:t xml:space="preserve"> delays; renewable policy </w:t>
      </w:r>
      <w:r>
        <w:rPr>
          <w:rFonts w:hint="eastAsia"/>
        </w:rPr>
        <w:t xml:space="preserve">reversal｜审批延迟；可再生政策逆转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43.9%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15.8%；近几季</w:t>
      </w:r>
      <w:r>
        <w:t xml:space="preserve"> EPS </w:t>
      </w:r>
      <w:r>
        <w:rPr>
          <w:rFonts w:hint="eastAsia"/>
        </w:rPr>
        <w:t xml:space="preserve">超预期：2025-09</w:t>
      </w:r>
      <w:r>
        <w:t xml:space="preserve"> +2% / 2025-12 +5% / 2026-03 +32% / 2026-06 +28%。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买方押：Utility</w:t>
      </w:r>
      <w:r>
        <w:t xml:space="preserve"> capex plans raised; large transmission </w:t>
      </w:r>
      <w:r>
        <w:rPr>
          <w:rFonts w:hint="eastAsia"/>
        </w:rPr>
        <w:t xml:space="preserve">awards｜电力公司上调Capex；大型输电项目。卖方押：Permitting</w:t>
      </w:r>
      <w:r>
        <w:t xml:space="preserve"> delays; renewable policy </w:t>
      </w:r>
      <w:r>
        <w:rPr>
          <w:rFonts w:hint="eastAsia"/>
        </w:rPr>
        <w:t xml:space="preserve">reversal｜审批延迟；可再生政策逆转。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2008 </w:t>
      </w:r>
      <w:r>
        <w:rPr>
          <w:rFonts w:hint="eastAsia"/>
        </w:rPr>
        <w:t xml:space="preserve">年以来最大的三次回撤：2008-08→2008-11</w:t>
      </w:r>
      <w:r>
        <w:t xml:space="preserve"> </w:t>
      </w:r>
      <w:r>
        <w:rPr>
          <w:rFonts w:hint="eastAsia"/>
        </w:rPr>
        <w:t xml:space="preserve">-70%；2014-09→2016-02</w:t>
      </w:r>
      <w:r>
        <w:t xml:space="preserve"> </w:t>
      </w:r>
      <w:r>
        <w:rPr>
          <w:rFonts w:hint="eastAsia"/>
        </w:rPr>
        <w:t xml:space="preserve">-54%；2019-11→2020-03</w:t>
      </w:r>
      <w:r>
        <w:t xml:space="preserve"> </w:t>
      </w:r>
      <w:r>
        <w:rPr>
          <w:rFonts w:hint="eastAsia"/>
        </w:rPr>
        <w:t xml:space="preserve">-46%；中位数</w:t>
      </w:r>
      <w:r>
        <w:t xml:space="preserve"> </w:t>
      </w:r>
      <w:r>
        <w:rPr>
          <w:rFonts w:hint="eastAsia"/>
        </w:rPr>
        <w:t xml:space="preserve">-54%。当前距高点</w:t>
      </w:r>
      <w:r>
        <w:t xml:space="preserve"> </w:t>
      </w:r>
      <w:r>
        <w:rPr>
          <w:rFonts w:hint="eastAsia"/>
        </w:rPr>
        <w:t xml:space="preserve">-11.5%。毛利率区间：14.1%–16.2%（本快照内）。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Quanta是’AI→电力需求→电网投资’传导链上的劳动力瓶颈龙头；电力公司资本开支计划是领先指标。（HYPOTHESIS）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Permitting delays; renewable policy </w:t>
      </w:r>
      <w:r>
        <w:rPr>
          <w:rFonts w:hint="eastAsia"/>
        </w:rPr>
        <w:t xml:space="preserve">reversal｜审批延迟；可再生政策逆转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$688.88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$225 </w:t>
      </w:r>
      <w:r>
        <w:rPr>
          <w:rFonts w:hint="eastAsia"/>
        </w:rPr>
        <w:t xml:space="preserve">206.6%，安全边际取决于假设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2008-08→2008-11 </w:t>
      </w:r>
      <w:r>
        <w:rPr>
          <w:rFonts w:hint="eastAsia"/>
        </w:rPr>
        <w:t xml:space="preserve">-70%；2014-09→2016-02</w:t>
      </w:r>
      <w:r>
        <w:t xml:space="preserve"> </w:t>
      </w:r>
      <w:r>
        <w:rPr>
          <w:rFonts w:hint="eastAsia"/>
        </w:rPr>
        <w:t xml:space="preserve">-54%；2019-11→2020-03</w:t>
      </w:r>
      <w:r>
        <w:t xml:space="preserve"> -46%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$688.88 vs Base </w:t>
            </w:r>
            <w:r>
              <w:rPr>
                <w:rFonts w:hint="eastAsia"/>
              </w:rPr>
              <w:t xml:space="preserve">价值</w:t>
            </w:r>
            <w:r>
              <w:t xml:space="preserve"> $225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43.9% vs </w:t>
            </w:r>
            <w:r>
              <w:rPr>
                <w:rFonts w:hint="eastAsia"/>
              </w:rPr>
              <w:t xml:space="preserve">一致预期</w:t>
            </w:r>
            <w:r>
              <w:t xml:space="preserve"> 15.8%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5 </w:t>
            </w:r>
            <w:r>
              <w:rPr>
                <w:rFonts w:hint="eastAsia"/>
              </w:rPr>
              <w:t xml:space="preserve">季毛利率</w:t>
            </w:r>
            <w:r>
              <w:t xml:space="preserve"> 14.9% → 16.2%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EPS </w:t>
            </w:r>
            <w:r>
              <w:rPr>
                <w:rFonts w:hint="eastAsia"/>
              </w:rPr>
              <w:t xml:space="preserve">超预期</w:t>
            </w:r>
            <w:r>
              <w:t xml:space="preserve"> +32% → +28%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最新季度收入同比</w:t>
            </w:r>
            <w:r>
              <w:t xml:space="preserve"> +41.1%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当前回撤</w:t>
            </w:r>
            <w:r>
              <w:t xml:space="preserve"> -11.5% vs </w:t>
            </w:r>
            <w:r>
              <w:rPr>
                <w:rFonts w:hint="eastAsia"/>
              </w:rPr>
              <w:t xml:space="preserve">历史前三大回撤中位数</w:t>
            </w:r>
            <w:r>
              <w:t xml:space="preserve"> -54%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4 : </w:t>
      </w:r>
      <w:r>
        <w:rPr>
          <w:rFonts w:hint="eastAsia"/>
        </w:rPr>
        <w:t xml:space="preserve">9）。这是对现有数据的机械称重，不是买卖结论；最该做的是盯住证伪清单。（我们的判断，可能出错）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43.9%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41.1%）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16.2%）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Backlog, adj. EBITDA margin, electric segment </w:t>
            </w:r>
            <w:r>
              <w:rPr>
                <w:rFonts w:hint="eastAsia"/>
              </w:rPr>
              <w:t xml:space="preserve">growth｜积压订单、调整后EBITDA利润率、电力业务增速</w:t>
            </w:r>
          </w:p>
        </w:tc>
        <w:tc>
          <w:tcPr/>
          <w:p>
            <w:pPr>
              <w:pStyle w:val="Compact"/>
            </w:pPr>
            <w:r>
              <w:t xml:space="preserve">Backlog growth stalls; utility capex </w:t>
            </w:r>
            <w:r>
              <w:rPr>
                <w:rFonts w:hint="eastAsia"/>
              </w:rPr>
              <w:t xml:space="preserve">cut｜积压停滞；电力Capex下修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43.9%、共识</w:t>
      </w:r>
      <w:r>
        <w:t xml:space="preserve"> </w:t>
      </w:r>
      <w:r>
        <w:rPr>
          <w:rFonts w:hint="eastAsia"/>
        </w:rPr>
        <w:t xml:space="preserve">15.8%。如果公司下季’超预期’但只超共识不超隐含，股价可能怎样？为什么？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16.2%，区间</w:t>
      </w:r>
      <w:r>
        <w:t xml:space="preserve"> </w:t>
      </w:r>
      <w:r>
        <w:rPr>
          <w:rFonts w:hint="eastAsia"/>
        </w:rPr>
        <w:t xml:space="preserve">14.1%–16.2%。用’第一性原理’说明利润率下降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-54%，当前</w:t>
      </w:r>
      <w:r>
        <w:t xml:space="preserve"> </w:t>
      </w:r>
      <w:r>
        <w:rPr>
          <w:rFonts w:hint="eastAsia"/>
        </w:rPr>
        <w:t xml:space="preserve">-11.5%。为什么’已经跌了很多’不能单独作为买入理由？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0-29-财报后填写"/>
    <w:p>
      <w:pPr>
        <w:pStyle w:val="Heading2"/>
      </w:pPr>
      <w:r>
        <w:rPr>
          <w:rFonts w:hint="eastAsia"/>
        </w:rPr>
        <w:t xml:space="preserve">八、事后推理复盘（2026-10-29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PWR thinking-first edition. Price $688.88; -11.5% from 2026-05-06 high. Reverse DCF: price implies ~43.9% Y1 growth vs consensus 15.8%. Scenario values $101/$225/$363; WACC 11.6%. Base rates: largest drawdowns since 2008: 2008-08→2008-11 </w:t>
      </w:r>
      <w:r>
        <w:rPr>
          <w:rFonts w:hint="eastAsia"/>
        </w:rPr>
        <w:t xml:space="preserve">-70%；2014-09→2016-02</w:t>
      </w:r>
      <w:r>
        <w:t xml:space="preserve"> </w:t>
      </w:r>
      <w:r>
        <w:rPr>
          <w:rFonts w:hint="eastAsia"/>
        </w:rPr>
        <w:t xml:space="preserve">-54%；2019-11→2020-03</w:t>
      </w:r>
      <w:r>
        <w:t xml:space="preserve"> -46%. Evidence weighting 4:9 (bull:bear). Falsifiers: Backlog growth stalls; utility capex </w:t>
      </w:r>
      <w:r>
        <w:rPr>
          <w:rFonts w:hint="eastAsia"/>
        </w:rPr>
        <w:t xml:space="preserve">cut｜积压停滞；电力Capex下修.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2026-10-14T00:04:21Z</dcterms:created>
  <dcterms:modified xsi:type="dcterms:W3CDTF">2026-10-14T00:04:21Z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