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004c623991532adc1040fec873e9582996a37c9"/>
    <w:p>
      <w:pPr>
        <w:pStyle w:val="Heading1"/>
      </w:pPr>
      <w:r>
        <w:t xml:space="preserve">SIMO Silicon Motion Technology Corporation 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v20261014-0758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2026-10-14 07:58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$246.63｜市值</w:t>
      </w:r>
      <w:r>
        <w:t xml:space="preserve"> 8.4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慧荣是NAND周期与AI企业级SSD的’卖铲人’；收入弹性大，NAND价格上涨期受益于出货与规格升级。注意最新数据期间FCF为负。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Enterprise SSD (MonTitan) wins; PCIe Gen5/6 </w:t>
      </w:r>
      <w:r>
        <w:rPr>
          <w:rFonts w:hint="eastAsia"/>
        </w:rPr>
        <w:t xml:space="preserve">mix｜企业级SSD获单；PCIe</w:t>
      </w:r>
      <w:r>
        <w:t xml:space="preserve"> </w:t>
      </w:r>
      <w:r>
        <w:rPr>
          <w:rFonts w:hint="eastAsia"/>
        </w:rPr>
        <w:t xml:space="preserve">5/6升级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NAND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NAND/SSD controllers </w:t>
      </w:r>
      <w:r>
        <w:rPr>
          <w:rFonts w:hint="eastAsia"/>
        </w:rPr>
        <w:t xml:space="preserve">存储控制器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SSD controllers </w:t>
      </w:r>
      <w:r>
        <w:rPr>
          <w:rFonts w:hint="eastAsia"/>
        </w:rPr>
        <w:t xml:space="preserve">SSD主控；eMMC/UFS</w:t>
      </w:r>
      <w:r>
        <w:t xml:space="preserve"> controllers </w:t>
      </w:r>
      <w:r>
        <w:rPr>
          <w:rFonts w:hint="eastAsia"/>
        </w:rPr>
        <w:t xml:space="preserve">嵌入式主控；Other</w:t>
      </w:r>
      <w:r>
        <w:t xml:space="preserve">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Silicon Motion Technology Corporation, together with its subsidiaries, designs, develops, and markets NAND flash controllers for solid-state storage devices and related devices in China, Japan, Singapore, Taiwan, Korea, the United States, and internationally. It offers controllers for computing-grade solid state drives (SSDs), which are used in PCs and other client devices; enterprise-grade SSDs used in enterprise and hyperscale data centers; eMMC and UFS mobile embedded storage for use in smartphones and IoT devices; flash memory cards and flash drives for use in expandable storage; and specialized SSDs that are used in industrial, commercial, and automotive applications. The company markets its controllers under the SMI brand; and single-chip SSDs under the FerriSSD, Ferri-eMMC, and Ferri-UFS brands. It markets and sells its products through direct sales personnel and independent elect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Samsung, SK hynix, Micron, Kioxia/SanDisk, YMTC, module </w:t>
      </w:r>
      <w:r>
        <w:rPr>
          <w:rFonts w:hint="eastAsia"/>
        </w:rPr>
        <w:t xml:space="preserve">makers｜各NAND原厂与模组厂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TSMC (controller wafers), </w:t>
      </w:r>
      <w:r>
        <w:rPr>
          <w:rFonts w:hint="eastAsia"/>
        </w:rPr>
        <w:t xml:space="preserve">OSATs｜台积电、封测厂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Phison, Marvell, Samsung/WD in-house </w:t>
      </w:r>
      <w:r>
        <w:rPr>
          <w:rFonts w:hint="eastAsia"/>
        </w:rPr>
        <w:t xml:space="preserve">controllers｜群联、Marvell、原厂自研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NAND bit growth, enterprise SSD controller design </w:t>
      </w:r>
      <w:r>
        <w:rPr>
          <w:rFonts w:hint="eastAsia"/>
        </w:rPr>
        <w:t xml:space="preserve">wins｜NAND位元增长、企业级SSD主控订单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Revenue by segment, GM%, enterprise SSD </w:t>
      </w:r>
      <w:r>
        <w:rPr>
          <w:rFonts w:hint="eastAsia"/>
        </w:rPr>
        <w:t xml:space="preserve">wins｜分业务收入、毛利率、企业级订单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-71.5 mn USD</w:t>
            </w:r>
          </w:p>
        </w:tc>
        <w:tc>
          <w:tcPr/>
          <w:p>
            <w:pPr>
              <w:pStyle w:val="Compact"/>
            </w:pPr>
            <w:r>
              <w:t xml:space="preserve">22.4%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52.2 mn USD</w:t>
            </w:r>
          </w:p>
        </w:tc>
        <w:tc>
          <w:tcPr/>
          <w:p>
            <w:pPr>
              <w:pStyle w:val="Compact"/>
            </w:pPr>
            <w:r>
              <w:t xml:space="preserve">66.8 mn USD</w:t>
            </w:r>
          </w:p>
        </w:tc>
        <w:tc>
          <w:tcPr/>
          <w:p>
            <w:pPr>
              <w:pStyle w:val="Compact"/>
            </w:pPr>
            <w:r>
              <w:t xml:space="preserve">-49.4 mn USD</w:t>
            </w:r>
          </w:p>
        </w:tc>
        <w:tc>
          <w:tcPr/>
          <w:p>
            <w:pPr>
              <w:pStyle w:val="Compact"/>
            </w:pPr>
            <w:r>
              <w:t xml:space="preserve">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31.7 mn USD</w:t>
            </w:r>
          </w:p>
        </w:tc>
        <w:tc>
          <w:tcPr/>
          <w:p>
            <w:pPr>
              <w:pStyle w:val="Compact"/>
            </w:pPr>
            <w:r>
              <w:t xml:space="preserve">47.7 mn USD</w:t>
            </w:r>
          </w:p>
        </w:tc>
        <w:tc>
          <w:tcPr/>
          <w:p>
            <w:pPr>
              <w:pStyle w:val="Compact"/>
            </w:pPr>
            <w:r>
              <w:t xml:space="preserve">-6.3 mn USD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29.2 mn USD</w:t>
            </w:r>
          </w:p>
        </w:tc>
        <w:tc>
          <w:tcPr/>
          <w:p>
            <w:pPr>
              <w:pStyle w:val="Compact"/>
            </w:pPr>
            <w:r>
              <w:t xml:space="preserve">39.1 mn USD</w:t>
            </w:r>
          </w:p>
        </w:tc>
        <w:tc>
          <w:tcPr/>
          <w:p>
            <w:pPr>
              <w:pStyle w:val="Compact"/>
            </w:pPr>
            <w:r>
              <w:t xml:space="preserve">6.8 mn USD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94.7 mn USD</w:t>
            </w:r>
          </w:p>
        </w:tc>
        <w:tc>
          <w:tcPr/>
          <w:p>
            <w:pPr>
              <w:pStyle w:val="Compact"/>
            </w:pPr>
            <w:r>
              <w:t xml:space="preserve">22.3 mn USD</w:t>
            </w:r>
          </w:p>
        </w:tc>
        <w:tc>
          <w:tcPr/>
          <w:p>
            <w:pPr>
              <w:pStyle w:val="Compact"/>
            </w:pPr>
            <w:r>
              <w:t xml:space="preserve">16.3 mn USD</w:t>
            </w:r>
          </w:p>
        </w:tc>
        <w:tc>
          <w:tcPr/>
          <w:p>
            <w:pPr>
              <w:pStyle w:val="Compact"/>
            </w:pPr>
            <w:r>
              <w:t xml:space="preserve">-32.8 mn USD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74.4 mn </w:t>
      </w:r>
      <w:r>
        <w:rPr>
          <w:rFonts w:hint="eastAsia"/>
        </w:rPr>
        <w:t xml:space="preserve">USD；总负债</w:t>
      </w:r>
      <w:r>
        <w:t xml:space="preserve"> 72.5 mn </w:t>
      </w:r>
      <w:r>
        <w:rPr>
          <w:rFonts w:hint="eastAsia"/>
        </w:rPr>
        <w:t xml:space="preserve">USD；净现金</w:t>
      </w:r>
      <w:r>
        <w:t xml:space="preserve"> 1.9 mn USD。TTM FCF -0.1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-9.2%）。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0.80667</w:t>
            </w:r>
          </w:p>
        </w:tc>
        <w:tc>
          <w:tcPr/>
          <w:p>
            <w:pPr>
              <w:pStyle w:val="Compact"/>
            </w:pPr>
            <w:r>
              <w:t xml:space="preserve">0.23969999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1.29834</w:t>
            </w:r>
          </w:p>
        </w:tc>
        <w:tc>
          <w:tcPr/>
          <w:p>
            <w:pPr>
              <w:pStyle w:val="Compact"/>
            </w:pPr>
            <w:r>
              <w:t xml:space="preserve">-0.0295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1.30305</w:t>
            </w:r>
          </w:p>
        </w:tc>
        <w:tc>
          <w:tcPr/>
          <w:p>
            <w:pPr>
              <w:pStyle w:val="Compact"/>
            </w:pPr>
            <w:r>
              <w:t xml:space="preserve">0.2125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2.10662</w:t>
            </w:r>
          </w:p>
        </w:tc>
        <w:tc>
          <w:tcPr/>
          <w:p>
            <w:pPr>
              <w:pStyle w:val="Compact"/>
            </w:pPr>
            <w:r>
              <w:t xml:space="preserve">0.1535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2026-10-29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3.33339（9位分析师）；收入一致预期</w:t>
      </w:r>
      <w:r>
        <w:t xml:space="preserve"> 0.5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$-13.99</w:t>
            </w:r>
          </w:p>
        </w:tc>
        <w:tc>
          <w:tcPr/>
          <w:p>
            <w:pPr>
              <w:pStyle w:val="Compact"/>
            </w:pPr>
            <w:r>
              <w:t xml:space="preserve">-105.7%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$-13.63</w:t>
            </w:r>
          </w:p>
        </w:tc>
        <w:tc>
          <w:tcPr/>
          <w:p>
            <w:pPr>
              <w:pStyle w:val="Compact"/>
            </w:pPr>
            <w:r>
              <w:t xml:space="preserve">-105.5%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$-4.29</w:t>
            </w:r>
          </w:p>
        </w:tc>
        <w:tc>
          <w:tcPr/>
          <w:p>
            <w:pPr>
              <w:pStyle w:val="Compact"/>
            </w:pPr>
            <w:r>
              <w:t xml:space="preserve">-101.7%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$1.78</w:t>
            </w:r>
          </w:p>
        </w:tc>
        <w:tc>
          <w:tcPr/>
          <w:p>
            <w:pPr>
              <w:pStyle w:val="Compact"/>
            </w:pPr>
            <w:r>
              <w:t xml:space="preserve">-99.3%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$24.46</w:t>
            </w:r>
          </w:p>
        </w:tc>
        <w:tc>
          <w:tcPr/>
          <w:p>
            <w:pPr>
              <w:pStyle w:val="Compact"/>
            </w:pPr>
            <w:r>
              <w:t xml:space="preserve">-90.1%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$64.17</w:t>
            </w:r>
          </w:p>
        </w:tc>
        <w:tc>
          <w:tcPr/>
          <w:p>
            <w:pPr>
              <w:pStyle w:val="Compact"/>
            </w:pPr>
            <w:r>
              <w:t xml:space="preserve">-74.0%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$17.63</w:t>
            </w:r>
          </w:p>
        </w:tc>
        <w:tc>
          <w:tcPr/>
          <w:p>
            <w:pPr>
              <w:pStyle w:val="Compact"/>
            </w:pPr>
            <w:r>
              <w:t xml:space="preserve">-92.9%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$67.95</w:t>
            </w:r>
          </w:p>
        </w:tc>
        <w:tc>
          <w:tcPr/>
          <w:p>
            <w:pPr>
              <w:pStyle w:val="Compact"/>
            </w:pPr>
            <w:r>
              <w:t xml:space="preserve">-72.4%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$147.54</w:t>
            </w:r>
          </w:p>
        </w:tc>
        <w:tc>
          <w:tcPr/>
          <w:p>
            <w:pPr>
              <w:pStyle w:val="Compact"/>
            </w:pPr>
            <w:r>
              <w:t xml:space="preserve">-40.2%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$33.55</w:t>
            </w:r>
          </w:p>
        </w:tc>
        <w:tc>
          <w:tcPr/>
          <w:p>
            <w:pPr>
              <w:pStyle w:val="Compact"/>
            </w:pPr>
            <w:r>
              <w:t xml:space="preserve">-86.4%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$117.40</w:t>
            </w:r>
          </w:p>
        </w:tc>
        <w:tc>
          <w:tcPr/>
          <w:p>
            <w:pPr>
              <w:pStyle w:val="Compact"/>
            </w:pPr>
            <w:r>
              <w:t xml:space="preserve">-52.4%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$248.26</w:t>
            </w:r>
          </w:p>
        </w:tc>
        <w:tc>
          <w:tcPr/>
          <w:p>
            <w:pPr>
              <w:pStyle w:val="Compact"/>
            </w:pPr>
            <w:r>
              <w:t xml:space="preserve">0.7%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n/m (neg FCF)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223.0x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75.3x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41.0x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14.4%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$58.74</w:t>
            </w:r>
          </w:p>
        </w:tc>
        <w:tc>
          <w:tcPr/>
          <w:p>
            <w:pPr>
              <w:pStyle w:val="Compact"/>
            </w:pPr>
            <w:r>
              <w:t xml:space="preserve">-76.2%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29.6%</w:t>
            </w:r>
          </w:p>
        </w:tc>
        <w:tc>
          <w:tcPr/>
          <w:p>
            <w:pPr>
              <w:pStyle w:val="Compact"/>
            </w:pPr>
            <w:r>
              <w:t xml:space="preserve">18.0%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$161.38</w:t>
            </w:r>
          </w:p>
        </w:tc>
        <w:tc>
          <w:tcPr/>
          <w:p>
            <w:pPr>
              <w:pStyle w:val="Compact"/>
            </w:pPr>
            <w:r>
              <w:t xml:space="preserve">-34.6%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  <w:tc>
          <w:tcPr/>
          <w:p>
            <w:pPr>
              <w:pStyle w:val="Compact"/>
            </w:pPr>
            <w:r>
              <w:t xml:space="preserve">20.7%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$294.47</w:t>
            </w:r>
          </w:p>
        </w:tc>
        <w:tc>
          <w:tcPr/>
          <w:p>
            <w:pPr>
              <w:pStyle w:val="Compact"/>
            </w:pPr>
            <w:r>
              <w:t xml:space="preserve">19.4%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$168.99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-31.5%）。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5.5 bn </w:t>
      </w:r>
      <w:r>
        <w:rPr>
          <w:rFonts w:hint="eastAsia"/>
        </w:rPr>
        <w:t xml:space="preserve">USD；终值占比</w:t>
      </w:r>
      <w:r>
        <w:t xml:space="preserve"> 55.4%。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40.9%</w:t>
      </w:r>
      <w:r>
        <w:rPr>
          <w:rFonts w:hint="eastAsia"/>
        </w:rPr>
        <w:t xml:space="preserve">；一致预期FY+1增速</w:t>
      </w:r>
      <w:r>
        <w:t xml:space="preserve"> 29.6%。</w:t>
      </w:r>
    </w:p>
    <w:p>
      <w:pPr>
        <w:numPr>
          <w:ilvl w:val="0"/>
          <w:numId w:val="1005"/>
        </w:numPr>
      </w:pPr>
      <w:r>
        <w:t xml:space="preserve">WACC (CAPM) = rf 5.2% + β 1.60 × ERP 5.0% = 13.2%。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SSD controllers </w:t>
      </w:r>
      <w:r>
        <w:rPr>
          <w:rFonts w:hint="eastAsia"/>
        </w:rPr>
        <w:t xml:space="preserve">SSD主控;</w:t>
      </w:r>
      <w:r>
        <w:t xml:space="preserve"> eMMC/UFS controllers </w:t>
      </w:r>
      <w:r>
        <w:rPr>
          <w:rFonts w:hint="eastAsia"/>
        </w:rPr>
        <w:t xml:space="preserve">嵌入式主控;</w:t>
      </w:r>
      <w:r>
        <w:t xml:space="preserve"> Other </w:t>
      </w:r>
      <w:r>
        <w:rPr>
          <w:rFonts w:hint="eastAsia"/>
        </w:rPr>
        <w:t xml:space="preserve">其他.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SIMO | 8.4 bn USD | 6.4x | 15.5x | 127.0% | 48.9% | -1.4% |</w:t>
      </w:r>
      <w:r>
        <w:t xml:space="preserve"> </w:t>
      </w:r>
      <w:r>
        <w:t xml:space="preserve">| MU | 1,078.5 bn USD | 7.8x | 4.6x | 379.3% | 80.7% | 2.7% |</w:t>
      </w:r>
      <w:r>
        <w:t xml:space="preserve"> </w:t>
      </w:r>
      <w:r>
        <w:t xml:space="preserve">| MRVL | 241.5 bn USD | 25.1x | 36.9x | 36.5% | 52.2% | 1.0% |</w:t>
      </w:r>
      <w:r>
        <w:t xml:space="preserve"> </w:t>
      </w:r>
      <w:r>
        <w:t xml:space="preserve">| 8299.TWO | 434.6 bn USD | 2.9x | 7.0x | 279.5% | 56.8% | -4.2%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NAND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Enterprise SSD revenue fails to scale; GM </w:t>
      </w:r>
      <w:r>
        <w:rPr>
          <w:rFonts w:hint="eastAsia"/>
        </w:rPr>
        <w:t xml:space="preserve">&lt;45%｜企业级SSD未放量；毛利率&lt;45%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246.6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2026-10-14T07:58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8.363e+09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7.437e+07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7.249e+07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1.314e+09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-1.204e+08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1.682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0.0524</w:t>
            </w:r>
          </w:p>
        </w:tc>
        <w:tc>
          <w:tcPr/>
          <w:p>
            <w:pPr>
              <w:pStyle w:val="Compact"/>
            </w:pPr>
            <w:r>
              <w:t xml:space="preserve">FRED DGS10 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1.117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0.2964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1.60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0.2964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-0.0917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SIMO_model_v20261014-0758.xlsx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data/snapshots/20261014-0758</w:t>
      </w:r>
      <w:r>
        <w:t xml:space="preserve"> </w:t>
      </w:r>
      <w:r>
        <w:t xml:space="preserve">(immutable) | Fetched 2026-10-14 07:58 SGT | Generated 2026-10-14 07:59 SGT</w:t>
      </w:r>
    </w:p>
    <w:p>
      <w:pPr>
        <w:pStyle w:val="Compact"/>
        <w:numPr>
          <w:ilvl w:val="0"/>
          <w:numId w:val="1007"/>
        </w:numPr>
      </w:pPr>
      <w:r>
        <w:t xml:space="preserve">Version: v20261014-0758.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v20261014-0758: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2026-10-29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SIMO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SIMO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SIMO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SIMO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SIMO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6f2679067d04bb3afffd66892682afa92600e5e"/>
    <w:p>
      <w:pPr>
        <w:pStyle w:val="Heading1"/>
      </w:pPr>
      <w:r>
        <w:t xml:space="preserve">SIMO Silicon Motion Technology Corporation — Equity Deep Dive (Professional English) v20261014-0758</w:t>
      </w:r>
    </w:p>
    <w:p>
      <w:pPr>
        <w:pStyle w:val="BlockText"/>
      </w:pPr>
      <w:r>
        <w:t xml:space="preserve">Data as of 2026-10-14 07:58 SGT | Price $246.63 | Mkt cap 8.4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Silicon Motion is a</w:t>
      </w:r>
      <w:r>
        <w:t xml:space="preserve"> </w:t>
      </w:r>
      <w:r>
        <w:t xml:space="preserve">‘picks-and-shovels’</w:t>
      </w:r>
      <w:r>
        <w:t xml:space="preserve"> </w:t>
      </w:r>
      <w:r>
        <w:t xml:space="preserve">play on the NAND cycle and AI enterprise SSDs; revenue is highly elastic and benefits from NAND upcycles and spec upgrades. Note negative FCF in latest data period.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Enterprise SSD (MonTitan) wins; PCIe Gen5/6 </w:t>
      </w:r>
      <w:r>
        <w:rPr>
          <w:rFonts w:hint="eastAsia"/>
        </w:rPr>
        <w:t xml:space="preserve">mix｜企业级SSD获单；PCIe</w:t>
      </w:r>
      <w:r>
        <w:t xml:space="preserve"> </w:t>
      </w:r>
      <w:r>
        <w:rPr>
          <w:rFonts w:hint="eastAsia"/>
        </w:rPr>
        <w:t xml:space="preserve">5/6升级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NAND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NAND/SSD controllers </w:t>
      </w:r>
      <w:r>
        <w:rPr>
          <w:rFonts w:hint="eastAsia"/>
        </w:rPr>
        <w:t xml:space="preserve">存储控制器</w:t>
      </w:r>
      <w:r>
        <w:t xml:space="preserve"> | Segments: SSD controllers </w:t>
      </w:r>
      <w:r>
        <w:rPr>
          <w:rFonts w:hint="eastAsia"/>
        </w:rPr>
        <w:t xml:space="preserve">SSD主控;</w:t>
      </w:r>
      <w:r>
        <w:t xml:space="preserve"> eMMC/UFS controllers </w:t>
      </w:r>
      <w:r>
        <w:rPr>
          <w:rFonts w:hint="eastAsia"/>
        </w:rPr>
        <w:t xml:space="preserve">嵌入式主控;</w:t>
      </w:r>
      <w:r>
        <w:t xml:space="preserve"> Other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Silicon Motion Technology Corporation, together with its subsidiaries, designs, develops, and markets NAND flash controllers for solid-state storage devices and related devices in China, Japan, Singapore, Taiwan, Korea, the United States, and internationally. It offers controllers for computing-grade solid state drives (SSDs), which are used in PCs and other client devices; enterprise-grade SSDs used in enterprise and hyperscale data centers; eMMC and UFS mobile embedded storage for use in smartphones and IoT devices; flash memory cards and flash drives for use in expandable storage; and specialized SSDs that are used in industrial, commercial, and automotive applications. The company markets its controllers under the SMI brand; and single-chip SSDs under the FerriSSD, Ferri-eMMC, and Ferri-UFS brands. It markets and sells its products through direct sales personnel and independent elect</w:t>
      </w:r>
    </w:p>
    <w:p>
      <w:pPr>
        <w:pStyle w:val="Compact"/>
        <w:numPr>
          <w:ilvl w:val="0"/>
          <w:numId w:val="1010"/>
        </w:numPr>
      </w:pPr>
      <w:r>
        <w:t xml:space="preserve">Customers: Samsung, SK hynix, Micron, Kioxia/SanDisk, YMTC, module </w:t>
      </w:r>
      <w:r>
        <w:rPr>
          <w:rFonts w:hint="eastAsia"/>
        </w:rPr>
        <w:t xml:space="preserve">makers｜各NAND原厂与模组厂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TSMC (controller wafers), </w:t>
      </w:r>
      <w:r>
        <w:rPr>
          <w:rFonts w:hint="eastAsia"/>
        </w:rPr>
        <w:t xml:space="preserve">OSATs｜台积电、封测厂</w:t>
      </w:r>
    </w:p>
    <w:p>
      <w:pPr>
        <w:pStyle w:val="Compact"/>
        <w:numPr>
          <w:ilvl w:val="0"/>
          <w:numId w:val="1011"/>
        </w:numPr>
      </w:pPr>
      <w:r>
        <w:t xml:space="preserve">Competitors: Phison, Marvell, Samsung/WD in-house </w:t>
      </w:r>
      <w:r>
        <w:rPr>
          <w:rFonts w:hint="eastAsia"/>
        </w:rPr>
        <w:t xml:space="preserve">controllers｜群联、Marvell、原厂自研</w:t>
      </w:r>
    </w:p>
    <w:p>
      <w:pPr>
        <w:pStyle w:val="Compact"/>
        <w:numPr>
          <w:ilvl w:val="0"/>
          <w:numId w:val="1011"/>
        </w:numPr>
      </w:pPr>
      <w:r>
        <w:t xml:space="preserve">Bottlenecks/regulation: NAND bit growth, enterprise SSD controller design </w:t>
      </w:r>
      <w:r>
        <w:rPr>
          <w:rFonts w:hint="eastAsia"/>
        </w:rPr>
        <w:t xml:space="preserve">wins｜NAND位元增长、企业级SSD主控订单</w:t>
      </w:r>
    </w:p>
    <w:p>
      <w:pPr>
        <w:pStyle w:val="Compact"/>
        <w:numPr>
          <w:ilvl w:val="0"/>
          <w:numId w:val="1011"/>
        </w:numPr>
      </w:pPr>
      <w:r>
        <w:t xml:space="preserve">KPIs: Revenue by segment, GM%, enterprise SSD </w:t>
      </w:r>
      <w:r>
        <w:rPr>
          <w:rFonts w:hint="eastAsia"/>
        </w:rPr>
        <w:t xml:space="preserve">wins｜分业务收入、毛利率、企业级订单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-71.5 mn USD</w:t>
            </w:r>
          </w:p>
        </w:tc>
        <w:tc>
          <w:tcPr/>
          <w:p>
            <w:pPr>
              <w:pStyle w:val="Compact"/>
            </w:pPr>
            <w:r>
              <w:t xml:space="preserve">22.4%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52.2 mn USD</w:t>
            </w:r>
          </w:p>
        </w:tc>
        <w:tc>
          <w:tcPr/>
          <w:p>
            <w:pPr>
              <w:pStyle w:val="Compact"/>
            </w:pPr>
            <w:r>
              <w:t xml:space="preserve">66.8 mn USD</w:t>
            </w:r>
          </w:p>
        </w:tc>
        <w:tc>
          <w:tcPr/>
          <w:p>
            <w:pPr>
              <w:pStyle w:val="Compact"/>
            </w:pPr>
            <w:r>
              <w:t xml:space="preserve">-49.4 mn USD</w:t>
            </w:r>
          </w:p>
        </w:tc>
        <w:tc>
          <w:tcPr/>
          <w:p>
            <w:pPr>
              <w:pStyle w:val="Compact"/>
            </w:pPr>
            <w:r>
              <w:t xml:space="preserve">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31.7 mn USD</w:t>
            </w:r>
          </w:p>
        </w:tc>
        <w:tc>
          <w:tcPr/>
          <w:p>
            <w:pPr>
              <w:pStyle w:val="Compact"/>
            </w:pPr>
            <w:r>
              <w:t xml:space="preserve">47.7 mn USD</w:t>
            </w:r>
          </w:p>
        </w:tc>
        <w:tc>
          <w:tcPr/>
          <w:p>
            <w:pPr>
              <w:pStyle w:val="Compact"/>
            </w:pPr>
            <w:r>
              <w:t xml:space="preserve">-6.3 mn USD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29.2 mn USD</w:t>
            </w:r>
          </w:p>
        </w:tc>
        <w:tc>
          <w:tcPr/>
          <w:p>
            <w:pPr>
              <w:pStyle w:val="Compact"/>
            </w:pPr>
            <w:r>
              <w:t xml:space="preserve">39.1 mn USD</w:t>
            </w:r>
          </w:p>
        </w:tc>
        <w:tc>
          <w:tcPr/>
          <w:p>
            <w:pPr>
              <w:pStyle w:val="Compact"/>
            </w:pPr>
            <w:r>
              <w:t xml:space="preserve">6.8 mn USD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94.7 mn USD</w:t>
            </w:r>
          </w:p>
        </w:tc>
        <w:tc>
          <w:tcPr/>
          <w:p>
            <w:pPr>
              <w:pStyle w:val="Compact"/>
            </w:pPr>
            <w:r>
              <w:t xml:space="preserve">22.3 mn USD</w:t>
            </w:r>
          </w:p>
        </w:tc>
        <w:tc>
          <w:tcPr/>
          <w:p>
            <w:pPr>
              <w:pStyle w:val="Compact"/>
            </w:pPr>
            <w:r>
              <w:t xml:space="preserve">16.3 mn USD</w:t>
            </w:r>
          </w:p>
        </w:tc>
        <w:tc>
          <w:tcPr/>
          <w:p>
            <w:pPr>
              <w:pStyle w:val="Compact"/>
            </w:pPr>
            <w:r>
              <w:t xml:space="preserve">-32.8 mn USD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74.4 mn USD; debt 72.5 mn USD; TTM FCF -0.1 bn USD (FCF margin -9.2%).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0.80667</w:t>
            </w:r>
          </w:p>
        </w:tc>
        <w:tc>
          <w:tcPr/>
          <w:p>
            <w:pPr>
              <w:pStyle w:val="Compact"/>
            </w:pPr>
            <w:r>
              <w:t xml:space="preserve">0.23969999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1.29834</w:t>
            </w:r>
          </w:p>
        </w:tc>
        <w:tc>
          <w:tcPr/>
          <w:p>
            <w:pPr>
              <w:pStyle w:val="Compact"/>
            </w:pPr>
            <w:r>
              <w:t xml:space="preserve">-0.0295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1.30305</w:t>
            </w:r>
          </w:p>
        </w:tc>
        <w:tc>
          <w:tcPr/>
          <w:p>
            <w:pPr>
              <w:pStyle w:val="Compact"/>
            </w:pPr>
            <w:r>
              <w:t xml:space="preserve">0.2125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2.10662</w:t>
            </w:r>
          </w:p>
        </w:tc>
        <w:tc>
          <w:tcPr/>
          <w:p>
            <w:pPr>
              <w:pStyle w:val="Compact"/>
            </w:pPr>
            <w:r>
              <w:t xml:space="preserve">0.1535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2026-10-29</w:t>
      </w:r>
      <w:r>
        <w:t xml:space="preserve">; current-quarter EPS consensus 3.33339 (9 analysts); revenue consensus 0.5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$-13.99</w:t>
            </w:r>
          </w:p>
        </w:tc>
        <w:tc>
          <w:tcPr/>
          <w:p>
            <w:pPr>
              <w:pStyle w:val="Compact"/>
            </w:pPr>
            <w:r>
              <w:t xml:space="preserve">-105.7%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$-13.63</w:t>
            </w:r>
          </w:p>
        </w:tc>
        <w:tc>
          <w:tcPr/>
          <w:p>
            <w:pPr>
              <w:pStyle w:val="Compact"/>
            </w:pPr>
            <w:r>
              <w:t xml:space="preserve">-105.5%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$-4.29</w:t>
            </w:r>
          </w:p>
        </w:tc>
        <w:tc>
          <w:tcPr/>
          <w:p>
            <w:pPr>
              <w:pStyle w:val="Compact"/>
            </w:pPr>
            <w:r>
              <w:t xml:space="preserve">-101.7%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$1.78</w:t>
            </w:r>
          </w:p>
        </w:tc>
        <w:tc>
          <w:tcPr/>
          <w:p>
            <w:pPr>
              <w:pStyle w:val="Compact"/>
            </w:pPr>
            <w:r>
              <w:t xml:space="preserve">-99.3%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$24.46</w:t>
            </w:r>
          </w:p>
        </w:tc>
        <w:tc>
          <w:tcPr/>
          <w:p>
            <w:pPr>
              <w:pStyle w:val="Compact"/>
            </w:pPr>
            <w:r>
              <w:t xml:space="preserve">-90.1%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$64.17</w:t>
            </w:r>
          </w:p>
        </w:tc>
        <w:tc>
          <w:tcPr/>
          <w:p>
            <w:pPr>
              <w:pStyle w:val="Compact"/>
            </w:pPr>
            <w:r>
              <w:t xml:space="preserve">-74.0%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$17.63</w:t>
            </w:r>
          </w:p>
        </w:tc>
        <w:tc>
          <w:tcPr/>
          <w:p>
            <w:pPr>
              <w:pStyle w:val="Compact"/>
            </w:pPr>
            <w:r>
              <w:t xml:space="preserve">-92.9%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$67.95</w:t>
            </w:r>
          </w:p>
        </w:tc>
        <w:tc>
          <w:tcPr/>
          <w:p>
            <w:pPr>
              <w:pStyle w:val="Compact"/>
            </w:pPr>
            <w:r>
              <w:t xml:space="preserve">-72.4%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$147.54</w:t>
            </w:r>
          </w:p>
        </w:tc>
        <w:tc>
          <w:tcPr/>
          <w:p>
            <w:pPr>
              <w:pStyle w:val="Compact"/>
            </w:pPr>
            <w:r>
              <w:t xml:space="preserve">-40.2%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$33.55</w:t>
            </w:r>
          </w:p>
        </w:tc>
        <w:tc>
          <w:tcPr/>
          <w:p>
            <w:pPr>
              <w:pStyle w:val="Compact"/>
            </w:pPr>
            <w:r>
              <w:t xml:space="preserve">-86.4%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$117.40</w:t>
            </w:r>
          </w:p>
        </w:tc>
        <w:tc>
          <w:tcPr/>
          <w:p>
            <w:pPr>
              <w:pStyle w:val="Compact"/>
            </w:pPr>
            <w:r>
              <w:t xml:space="preserve">-52.4%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$248.26</w:t>
            </w:r>
          </w:p>
        </w:tc>
        <w:tc>
          <w:tcPr/>
          <w:p>
            <w:pPr>
              <w:pStyle w:val="Compact"/>
            </w:pPr>
            <w:r>
              <w:t xml:space="preserve">0.7%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n/m (neg FCF)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223.0x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75.3x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41.0x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14.4%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$58.74</w:t>
            </w:r>
          </w:p>
        </w:tc>
        <w:tc>
          <w:tcPr/>
          <w:p>
            <w:pPr>
              <w:pStyle w:val="Compact"/>
            </w:pPr>
            <w:r>
              <w:t xml:space="preserve">-76.2%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29.6%</w:t>
            </w:r>
          </w:p>
        </w:tc>
        <w:tc>
          <w:tcPr/>
          <w:p>
            <w:pPr>
              <w:pStyle w:val="Compact"/>
            </w:pPr>
            <w:r>
              <w:t xml:space="preserve">18.0%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$161.38</w:t>
            </w:r>
          </w:p>
        </w:tc>
        <w:tc>
          <w:tcPr/>
          <w:p>
            <w:pPr>
              <w:pStyle w:val="Compact"/>
            </w:pPr>
            <w:r>
              <w:t xml:space="preserve">-34.6%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  <w:tc>
          <w:tcPr/>
          <w:p>
            <w:pPr>
              <w:pStyle w:val="Compact"/>
            </w:pPr>
            <w:r>
              <w:t xml:space="preserve">20.7%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$294.47</w:t>
            </w:r>
          </w:p>
        </w:tc>
        <w:tc>
          <w:tcPr/>
          <w:p>
            <w:pPr>
              <w:pStyle w:val="Compact"/>
            </w:pPr>
            <w:r>
              <w:t xml:space="preserve">19.4%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$168.99</w:t>
      </w:r>
      <w:r>
        <w:t xml:space="preserve"> </w:t>
      </w:r>
      <w:r>
        <w:t xml:space="preserve">(-31.5%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5.5 bn USD; terminal share 55.4%.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40.9%</w:t>
      </w:r>
      <w:r>
        <w:t xml:space="preserve"> </w:t>
      </w:r>
      <w:r>
        <w:t xml:space="preserve">vs consensus FY+1 29.6%.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1.60 × ERP 5.0% = 13.2%.</w:t>
      </w:r>
    </w:p>
    <w:p>
      <w:pPr>
        <w:pStyle w:val="Compact"/>
        <w:numPr>
          <w:ilvl w:val="0"/>
          <w:numId w:val="1013"/>
        </w:numPr>
      </w:pPr>
      <w:r>
        <w:t xml:space="preserve">SOTP segments: SSD controllers </w:t>
      </w:r>
      <w:r>
        <w:rPr>
          <w:rFonts w:hint="eastAsia"/>
        </w:rPr>
        <w:t xml:space="preserve">SSD主控;</w:t>
      </w:r>
      <w:r>
        <w:t xml:space="preserve"> eMMC/UFS controllers </w:t>
      </w:r>
      <w:r>
        <w:rPr>
          <w:rFonts w:hint="eastAsia"/>
        </w:rPr>
        <w:t xml:space="preserve">嵌入式主控;</w:t>
      </w:r>
      <w:r>
        <w:t xml:space="preserve"> Other </w:t>
      </w:r>
      <w:r>
        <w:rPr>
          <w:rFonts w:hint="eastAsia"/>
        </w:rPr>
        <w:t xml:space="preserve">其他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| Falsifiers: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SIMO_model_v20261014-0758.xlsx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data/snapshots/20261014-0758</w:t>
      </w:r>
      <w:r>
        <w:t xml:space="preserve"> </w:t>
      </w:r>
      <w:r>
        <w:t xml:space="preserve">(immutable) | Fetched 2026-10-14 07:58 SGT | Generated 2026-10-14 07:59 SGT</w:t>
      </w:r>
      <w:r>
        <w:t xml:space="preserve"> </w:t>
      </w:r>
      <w:r>
        <w:t xml:space="preserve">- Version: v20261014-0758.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2026-10-14T00:00:50Z</dcterms:created>
  <dcterms:modified xsi:type="dcterms:W3CDTF">2026-10-14T00:00:50Z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