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41d1839b977e652589443b352625f5a99ca4436"/>
    <w:p>
      <w:pPr>
        <w:pStyle w:val="Heading1"/>
      </w:pPr>
      <w:r>
        <w:t xml:space="preserve">US CPI (Sep 2026) Pre-Event </w:t>
      </w:r>
      <w:r>
        <w:rPr>
          <w:rFonts w:hint="eastAsia"/>
        </w:rPr>
        <w:t xml:space="preserve">Book｜美国9月CPI</w:t>
      </w:r>
      <w:r>
        <w:t xml:space="preserve"> </w:t>
      </w:r>
      <w:r>
        <w:rPr>
          <w:rFonts w:hint="eastAsia"/>
        </w:rPr>
        <w:t xml:space="preserve">发布前事件书</w:t>
      </w:r>
      <w:r>
        <w:t xml:space="preserve"> — Professional English</w:t>
      </w:r>
    </w:p>
    <w:p>
      <w:pPr>
        <w:pStyle w:val="BlockText"/>
      </w:pPr>
      <w:r>
        <w:rPr>
          <w:b/>
          <w:bCs/>
        </w:rPr>
        <w:t xml:space="preserve">Release: Wed 2026-10-14, 08:30 ET = 20:30 SGT (Singapore time)</w:t>
      </w:r>
      <w:r>
        <w:t xml:space="preserve">. Status CONFIRMED (BLS schedule).</w:t>
      </w:r>
      <w:r>
        <w:t xml:space="preserve"> </w:t>
      </w:r>
      <w:r>
        <w:t xml:space="preserve">Pre-event snapshot locked</w:t>
      </w:r>
      <w:r>
        <w:t xml:space="preserve"> </w:t>
      </w:r>
      <w:r>
        <w:rPr>
          <w:b/>
          <w:bCs/>
        </w:rPr>
        <w:t xml:space="preserve">2026-10-13 18:03 SGT</w:t>
      </w:r>
      <w:r>
        <w:t xml:space="preserve"> </w:t>
      </w:r>
      <w:r>
        <w:t xml:space="preserve">(version v20261013-1803). Not rewritten after the fact; actuals and the post-mortem go into the next Daily OS update.</w:t>
      </w:r>
      <w:r>
        <w:t xml:space="preserve"> </w:t>
      </w:r>
      <w:r>
        <w:t xml:space="preserve">Not investment advice. Labels: FACT · DATA · MARKET EXP (market expectation) · HYPOTHESIS (ours) · INFERENCE.</w:t>
      </w:r>
    </w:p>
    <w:bookmarkStart w:id="9" w:name="major-events-in-the-next-36-hours-sgt"/>
    <w:p>
      <w:pPr>
        <w:pStyle w:val="Heading2"/>
      </w:pPr>
      <w:r>
        <w:t xml:space="preserve">0. Major events in the next ~36 hours (SGT)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Time SGT</w:t>
            </w:r>
          </w:p>
        </w:tc>
        <w:tc>
          <w:tcPr/>
          <w:p>
            <w:pPr>
              <w:pStyle w:val="Compact"/>
            </w:pPr>
            <w:r>
              <w:t xml:space="preserve">Event</w:t>
            </w:r>
          </w:p>
        </w:tc>
        <w:tc>
          <w:tcPr/>
          <w:p>
            <w:pPr>
              <w:pStyle w:val="Compact"/>
            </w:pPr>
            <w:r>
              <w:t xml:space="preserve">Status</w:t>
            </w:r>
          </w:p>
        </w:tc>
        <w:tc>
          <w:tcPr/>
          <w:p>
            <w:pPr>
              <w:pStyle w:val="Compact"/>
            </w:pPr>
            <w:r>
              <w:t xml:space="preserve">OS link</w:t>
            </w:r>
          </w:p>
        </w:tc>
      </w:tr>
      <w:tr>
        <w:tc>
          <w:tcPr/>
          <w:p>
            <w:pPr>
              <w:pStyle w:val="Compact"/>
            </w:pPr>
            <w:r>
              <w:t xml:space="preserve">10/14 13:00</w:t>
            </w:r>
          </w:p>
        </w:tc>
        <w:tc>
          <w:tcPr/>
          <w:p>
            <w:pPr>
              <w:pStyle w:val="Compact"/>
            </w:pPr>
            <w:r>
              <w:t xml:space="preserve">ASML Q3 results (07:00 Amsterdam); call 21:00</w:t>
            </w:r>
          </w:p>
        </w:tc>
        <w:tc>
          <w:tcPr/>
          <w:p>
            <w:pPr>
              <w:pStyle w:val="Compact"/>
            </w:pPr>
            <w:r>
              <w:t xml:space="preserve">CONFIRMED date (time via secondary sources)</w:t>
            </w:r>
          </w:p>
        </w:tc>
        <w:tc>
          <w:tcPr/>
          <w:p>
            <w:pPr>
              <w:pStyle w:val="Compact"/>
            </w:pPr>
            <w:r>
              <w:t xml:space="preserve">Not on watchlist; bellwether for AMAT/KLAC/TSM/INTC/MU</w:t>
            </w:r>
          </w:p>
        </w:tc>
      </w:tr>
      <w:tr>
        <w:tc>
          <w:tcPr/>
          <w:p>
            <w:pPr>
              <w:pStyle w:val="Compact"/>
            </w:pPr>
            <w:r>
              <w:t xml:space="preserve">10/14 17:40</w:t>
            </w:r>
          </w:p>
        </w:tc>
        <w:tc>
          <w:tcPr/>
          <w:p>
            <w:pPr>
              <w:pStyle w:val="Compact"/>
            </w:pPr>
            <w:r>
              <w:t xml:space="preserve">Fed Vice Chair for Supervision Bowman (05:40 ET)</w:t>
            </w:r>
          </w:p>
        </w:tc>
        <w:tc>
          <w:tcPr/>
          <w:p>
            <w:pPr>
              <w:pStyle w:val="Compact"/>
            </w:pPr>
            <w:r>
              <w:t xml:space="preserve">TENTATIVE time</w:t>
            </w:r>
          </w:p>
        </w:tc>
        <w:tc>
          <w:tcPr/>
          <w:p>
            <w:pPr>
              <w:pStyle w:val="Compact"/>
            </w:pPr>
            <w:r>
              <w:t xml:space="preserve">Mostly regulation</w:t>
            </w:r>
          </w:p>
        </w:tc>
      </w:tr>
      <w:tr>
        <w:tc>
          <w:tcPr/>
          <w:p>
            <w:pPr>
              <w:pStyle w:val="Compact"/>
            </w:pPr>
            <w:r>
              <w:rPr>
                <w:b/>
                <w:bCs/>
              </w:rPr>
              <w:t xml:space="preserve">10/14 20:30</w:t>
            </w:r>
          </w:p>
        </w:tc>
        <w:tc>
          <w:tcPr/>
          <w:p>
            <w:pPr>
              <w:pStyle w:val="Compact"/>
            </w:pPr>
            <w:r>
              <w:rPr>
                <w:b/>
                <w:bCs/>
              </w:rPr>
              <w:t xml:space="preserve">US CPI (Consumer Price </w:t>
            </w:r>
            <w:r>
              <w:rPr>
                <w:rFonts w:hint="eastAsia"/>
                <w:b/>
                <w:bCs/>
              </w:rPr>
              <w:t xml:space="preserve">Index｜消费者价格指数),</w:t>
            </w:r>
            <w:r>
              <w:rPr>
                <w:b/>
                <w:bCs/>
              </w:rPr>
              <w:t xml:space="preserve"> September + Real Earnings</w:t>
            </w:r>
          </w:p>
        </w:tc>
        <w:tc>
          <w:tcPr/>
          <w:p>
            <w:pPr>
              <w:pStyle w:val="Compact"/>
            </w:pPr>
            <w:r>
              <w:rPr>
                <w:b/>
                <w:bCs/>
              </w:rPr>
              <w:t xml:space="preserve">CONFIRMED</w:t>
            </w:r>
          </w:p>
        </w:tc>
        <w:tc>
          <w:tcPr/>
          <w:p>
            <w:pPr>
              <w:pStyle w:val="Compact"/>
            </w:pPr>
            <w:r>
              <w:rPr>
                <w:b/>
                <w:bCs/>
              </w:rPr>
              <w:t xml:space="preserve">Main event</w:t>
            </w:r>
          </w:p>
        </w:tc>
      </w:tr>
      <w:tr>
        <w:tc>
          <w:tcPr/>
          <w:p>
            <w:pPr>
              <w:pStyle w:val="Compact"/>
            </w:pPr>
            <w:r>
              <w:t xml:space="preserve">10/15 01:30</w:t>
            </w:r>
          </w:p>
        </w:tc>
        <w:tc>
          <w:tcPr/>
          <w:p>
            <w:pPr>
              <w:pStyle w:val="Compact"/>
            </w:pPr>
            <w:r>
              <w:t xml:space="preserve">Richmond Fed’s Barkin (13:30 ET)</w:t>
            </w:r>
          </w:p>
        </w:tc>
        <w:tc>
          <w:tcPr/>
          <w:p>
            <w:pPr>
              <w:pStyle w:val="Compact"/>
            </w:pPr>
            <w:r>
              <w:t xml:space="preserve">TENTATIVE</w:t>
            </w:r>
          </w:p>
        </w:tc>
        <w:tc>
          <w:tcPr/>
          <w:p>
            <w:pPr>
              <w:pStyle w:val="Compact"/>
            </w:pPr>
            <w:r>
              <w:t xml:space="preserve">First Fed reaction after the data</w:t>
            </w:r>
          </w:p>
        </w:tc>
      </w:tr>
      <w:tr>
        <w:tc>
          <w:tcPr/>
          <w:p>
            <w:pPr>
              <w:pStyle w:val="Compact"/>
            </w:pPr>
            <w:r>
              <w:t xml:space="preserve">10/15 02:00</w:t>
            </w:r>
          </w:p>
        </w:tc>
        <w:tc>
          <w:tcPr/>
          <w:p>
            <w:pPr>
              <w:pStyle w:val="Compact"/>
            </w:pPr>
            <w:r>
              <w:t xml:space="preserve">Fed Beige Book </w:t>
            </w:r>
            <w:r>
              <w:rPr>
                <w:rFonts w:hint="eastAsia"/>
              </w:rPr>
              <w:t xml:space="preserve">(褐皮书)</w:t>
            </w:r>
          </w:p>
        </w:tc>
        <w:tc>
          <w:tcPr/>
          <w:p>
            <w:pPr>
              <w:pStyle w:val="Compact"/>
            </w:pPr>
            <w:r>
              <w:t xml:space="preserve">CONFIRMED</w:t>
            </w:r>
          </w:p>
        </w:tc>
        <w:tc>
          <w:tcPr/>
          <w:p>
            <w:pPr>
              <w:pStyle w:val="Compact"/>
            </w:pPr>
            <w:r>
              <w:t xml:space="preserve">Anecdotal evidence before the Oct 27–28 FOMC</w:t>
            </w:r>
          </w:p>
        </w:tc>
      </w:tr>
      <w:tr>
        <w:tc>
          <w:tcPr/>
          <w:p>
            <w:pPr>
              <w:pStyle w:val="Compact"/>
            </w:pPr>
            <w:r>
              <w:t xml:space="preserve">Watchlist earnings</w:t>
            </w:r>
          </w:p>
        </w:tc>
        <w:tc>
          <w:tcPr/>
          <w:p>
            <w:pPr>
              <w:pStyle w:val="Compact"/>
            </w:pPr>
            <w:r>
              <w:t xml:space="preserve">None in window (TSM is 10/15 14:00 SGT, covered in tomorrow’s run)</w:t>
            </w:r>
          </w:p>
        </w:tc>
        <w:tc>
          <w:tcPr/>
          <w:p>
            <w:pPr>
              <w:pStyle w:val="Compact"/>
            </w:pPr>
            <w:r>
              <w:t xml:space="preserve">—</w:t>
            </w:r>
          </w:p>
        </w:tc>
        <w:tc>
          <w:tcPr/>
          <w:p>
            <w:pPr>
              <w:pStyle w:val="Compact"/>
            </w:pPr>
            <w:r>
              <w:t xml:space="preserve">—</w:t>
            </w:r>
          </w:p>
        </w:tc>
      </w:tr>
    </w:tbl>
    <w:bookmarkEnd w:id="9"/>
    <w:bookmarkStart w:id="10" w:name="executive-summary"/>
    <w:p>
      <w:pPr>
        <w:pStyle w:val="Heading2"/>
      </w:pPr>
      <w:r>
        <w:t xml:space="preserve">1. Executive Summary</w:t>
      </w:r>
    </w:p>
    <w:p>
      <w:pPr>
        <w:pStyle w:val="Compact"/>
        <w:numPr>
          <w:ilvl w:val="0"/>
          <w:numId w:val="1001"/>
        </w:numPr>
      </w:pPr>
      <w:r>
        <w:rPr>
          <w:b/>
          <w:bCs/>
        </w:rPr>
        <w:t xml:space="preserve">Consensus (MARKET EXP)</w:t>
      </w:r>
      <w:r>
        <w:t xml:space="preserve">: headline +0.6% m/m (FactSet +0.5%), 3.6% y/y (prior 3.4%); core +0.2% m/m (prior +0.3%), 2.5% y/y (FactSet 2.4%; prior 2.4%).</w:t>
      </w:r>
    </w:p>
    <w:p>
      <w:pPr>
        <w:pStyle w:val="Compact"/>
        <w:numPr>
          <w:ilvl w:val="0"/>
          <w:numId w:val="1001"/>
        </w:numPr>
      </w:pPr>
      <w:r>
        <w:rPr>
          <w:b/>
          <w:bCs/>
        </w:rPr>
        <w:t xml:space="preserve">Ours (HYPOTHESIS)</w:t>
      </w:r>
      <w:r>
        <w:t xml:space="preserve">: headline +0.58% / 3.6%; core</w:t>
      </w:r>
      <w:r>
        <w:t xml:space="preserve"> </w:t>
      </w:r>
      <w:r>
        <w:rPr>
          <w:b/>
          <w:bCs/>
        </w:rPr>
        <w:t xml:space="preserve">+0.22%</w:t>
      </w:r>
      <w:r>
        <w:t xml:space="preserve"> </w:t>
      </w:r>
      <w:r>
        <w:t xml:space="preserve">/ 2.4%. Core y/y sits on the 2.4/2.5 rounding edge (≥0.2215% m/m rounds to ~2.5% on our SA approximation).</w:t>
      </w:r>
      <w:r>
        <w:t xml:space="preserve"> </w:t>
      </w:r>
      <w:r>
        <w:rPr>
          <w:b/>
          <w:bCs/>
        </w:rPr>
        <w:t xml:space="preserve">The core expectation gap is only about +0.02pp, so the trade is in the components and in positioning, not the headline number.</w:t>
      </w:r>
    </w:p>
    <w:p>
      <w:pPr>
        <w:pStyle w:val="Compact"/>
        <w:numPr>
          <w:ilvl w:val="0"/>
          <w:numId w:val="1001"/>
        </w:numPr>
      </w:pPr>
      <w:r>
        <w:rPr>
          <w:b/>
          <w:bCs/>
        </w:rPr>
        <w:t xml:space="preserve">Why it matters</w:t>
      </w:r>
      <w:r>
        <w:t xml:space="preserve">: last CPI before the Oct 27–28 FOMC. The Fed hiked in September; the target range is 3.75–4.00% (FRED upper bound 4.00%). Kalshi prices about 20% for an October hike and about 73% for December (10/13). September payrolls were only +29k with unemployment at 4.2% (FRED), which already pulled October odds from about 70% to about 20%.</w:t>
      </w:r>
    </w:p>
    <w:p>
      <w:pPr>
        <w:pStyle w:val="Compact"/>
        <w:numPr>
          <w:ilvl w:val="0"/>
          <w:numId w:val="1001"/>
        </w:numPr>
      </w:pPr>
      <w:r>
        <w:rPr>
          <w:b/>
          <w:bCs/>
        </w:rPr>
        <w:t xml:space="preserve">Fragile tape</w:t>
      </w:r>
      <w:r>
        <w:t xml:space="preserve">: 10Y UST at 5.24% (near multi-decade highs), SOX −7.4% since 10/6, KOSPI −5.46% today on CXMT memory-supply fears and foreign selling. Broadcom’s and Intel’s CEOs just named capital and the cost of capital as the binding constraint on AI expansion, so the AI chain’s sensitivity to rates is rising.</w:t>
      </w:r>
    </w:p>
    <w:p>
      <w:pPr>
        <w:pStyle w:val="Compact"/>
        <w:numPr>
          <w:ilvl w:val="0"/>
          <w:numId w:val="1001"/>
        </w:numPr>
      </w:pPr>
      <w:r>
        <w:rPr>
          <w:b/>
          <w:bCs/>
        </w:rPr>
        <w:t xml:space="preserve">Asymmetry</w:t>
      </w:r>
      <w:r>
        <w:t xml:space="preserve">: a hot core print (≥0.25%) would stack the cost-of-capital story on top of broken semis; a cool print could spark a relief bounce, but memory names (MU/SIMO) are trading supply news, not CPI.</w:t>
      </w:r>
    </w:p>
    <w:bookmarkEnd w:id="10"/>
    <w:bookmarkStart w:id="11" w:name="consensus-vs-ours-expectation-gap"/>
    <w:p>
      <w:pPr>
        <w:pStyle w:val="Heading2"/>
      </w:pPr>
      <w:r>
        <w:t xml:space="preserve">2. Consensus vs Ours (Expectation Gap)</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Measure</w:t>
            </w:r>
          </w:p>
        </w:tc>
        <w:tc>
          <w:tcPr/>
          <w:p>
            <w:pPr>
              <w:pStyle w:val="Compact"/>
            </w:pPr>
            <w:r>
              <w:t xml:space="preserve">Aug prior</w:t>
            </w:r>
          </w:p>
        </w:tc>
        <w:tc>
          <w:tcPr/>
          <w:p>
            <w:pPr>
              <w:pStyle w:val="Compact"/>
            </w:pPr>
            <w:r>
              <w:t xml:space="preserve">Consensus</w:t>
            </w:r>
          </w:p>
        </w:tc>
        <w:tc>
          <w:tcPr/>
          <w:p>
            <w:pPr>
              <w:pStyle w:val="Compact"/>
            </w:pPr>
            <w:r>
              <w:t xml:space="preserve">Range</w:t>
            </w:r>
          </w:p>
        </w:tc>
        <w:tc>
          <w:tcPr/>
          <w:p>
            <w:pPr>
              <w:pStyle w:val="Compact"/>
            </w:pPr>
            <w:r>
              <w:t xml:space="preserve">Ours</w:t>
            </w:r>
          </w:p>
        </w:tc>
        <w:tc>
          <w:tcPr/>
          <w:p>
            <w:pPr>
              <w:pStyle w:val="Compact"/>
            </w:pPr>
            <w:r>
              <w:t xml:space="preserve">Gap (pp)</w:t>
            </w:r>
          </w:p>
        </w:tc>
      </w:tr>
      <w:tr>
        <w:tc>
          <w:tcPr/>
          <w:p>
            <w:pPr>
              <w:pStyle w:val="Compact"/>
            </w:pPr>
            <w:r>
              <w:t xml:space="preserve">Headline m/m</w:t>
            </w:r>
          </w:p>
        </w:tc>
        <w:tc>
          <w:tcPr/>
          <w:p>
            <w:pPr>
              <w:pStyle w:val="Compact"/>
            </w:pPr>
            <w:r>
              <w:t xml:space="preserve">0.4%</w:t>
            </w:r>
          </w:p>
        </w:tc>
        <w:tc>
          <w:tcPr/>
          <w:p>
            <w:pPr>
              <w:pStyle w:val="Compact"/>
            </w:pPr>
            <w:r>
              <w:t xml:space="preserve">0.6% (FactSet 0.5)</w:t>
            </w:r>
          </w:p>
        </w:tc>
        <w:tc>
          <w:tcPr/>
          <w:p>
            <w:pPr>
              <w:pStyle w:val="Compact"/>
            </w:pPr>
            <w:r>
              <w:t xml:space="preserve">0.5–0.7</w:t>
            </w:r>
          </w:p>
        </w:tc>
        <w:tc>
          <w:tcPr/>
          <w:p>
            <w:pPr>
              <w:pStyle w:val="Compact"/>
            </w:pPr>
            <w:r>
              <w:t xml:space="preserve">0.58</w:t>
            </w:r>
          </w:p>
        </w:tc>
        <w:tc>
          <w:tcPr/>
          <w:p>
            <w:pPr>
              <w:pStyle w:val="Compact"/>
            </w:pPr>
            <w:r>
              <w:t xml:space="preserve">−0.02</w:t>
            </w:r>
          </w:p>
        </w:tc>
      </w:tr>
      <w:tr>
        <w:tc>
          <w:tcPr/>
          <w:p>
            <w:pPr>
              <w:pStyle w:val="Compact"/>
            </w:pPr>
            <w:r>
              <w:t xml:space="preserve">Headline y/y</w:t>
            </w:r>
          </w:p>
        </w:tc>
        <w:tc>
          <w:tcPr/>
          <w:p>
            <w:pPr>
              <w:pStyle w:val="Compact"/>
            </w:pPr>
            <w:r>
              <w:t xml:space="preserve">3.4%</w:t>
            </w:r>
          </w:p>
        </w:tc>
        <w:tc>
          <w:tcPr/>
          <w:p>
            <w:pPr>
              <w:pStyle w:val="Compact"/>
            </w:pPr>
            <w:r>
              <w:t xml:space="preserve">3.6%</w:t>
            </w:r>
          </w:p>
        </w:tc>
        <w:tc>
          <w:tcPr/>
          <w:p>
            <w:pPr>
              <w:pStyle w:val="Compact"/>
            </w:pPr>
            <w:r>
              <w:t xml:space="preserve">3.5–3.8</w:t>
            </w:r>
          </w:p>
        </w:tc>
        <w:tc>
          <w:tcPr/>
          <w:p>
            <w:pPr>
              <w:pStyle w:val="Compact"/>
            </w:pPr>
            <w:r>
              <w:t xml:space="preserve">3.6</w:t>
            </w:r>
          </w:p>
        </w:tc>
        <w:tc>
          <w:tcPr/>
          <w:p>
            <w:pPr>
              <w:pStyle w:val="Compact"/>
            </w:pPr>
            <w:r>
              <w:t xml:space="preserve">0</w:t>
            </w:r>
          </w:p>
        </w:tc>
      </w:tr>
      <w:tr>
        <w:tc>
          <w:tcPr/>
          <w:p>
            <w:pPr>
              <w:pStyle w:val="Compact"/>
            </w:pPr>
            <w:r>
              <w:rPr>
                <w:b/>
                <w:bCs/>
              </w:rPr>
              <w:t xml:space="preserve">Core m/m</w:t>
            </w:r>
          </w:p>
        </w:tc>
        <w:tc>
          <w:tcPr/>
          <w:p>
            <w:pPr>
              <w:pStyle w:val="Compact"/>
            </w:pPr>
            <w:r>
              <w:t xml:space="preserve">0.3% (0.29)</w:t>
            </w:r>
          </w:p>
        </w:tc>
        <w:tc>
          <w:tcPr/>
          <w:p>
            <w:pPr>
              <w:pStyle w:val="Compact"/>
            </w:pPr>
            <w:r>
              <w:rPr>
                <w:b/>
                <w:bCs/>
              </w:rPr>
              <w:t xml:space="preserve">0.2%</w:t>
            </w:r>
          </w:p>
        </w:tc>
        <w:tc>
          <w:tcPr/>
          <w:p>
            <w:pPr>
              <w:pStyle w:val="Compact"/>
            </w:pPr>
            <w:r>
              <w:t xml:space="preserve">0.2–0.3</w:t>
            </w:r>
          </w:p>
        </w:tc>
        <w:tc>
          <w:tcPr/>
          <w:p>
            <w:pPr>
              <w:pStyle w:val="Compact"/>
            </w:pPr>
            <w:r>
              <w:rPr>
                <w:b/>
                <w:bCs/>
              </w:rPr>
              <w:t xml:space="preserve">0.22</w:t>
            </w:r>
          </w:p>
        </w:tc>
        <w:tc>
          <w:tcPr/>
          <w:p>
            <w:pPr>
              <w:pStyle w:val="Compact"/>
            </w:pPr>
            <w:r>
              <w:rPr>
                <w:b/>
                <w:bCs/>
              </w:rPr>
              <w:t xml:space="preserve">+0.02</w:t>
            </w:r>
          </w:p>
        </w:tc>
      </w:tr>
      <w:tr>
        <w:tc>
          <w:tcPr/>
          <w:p>
            <w:pPr>
              <w:pStyle w:val="Compact"/>
            </w:pPr>
            <w:r>
              <w:t xml:space="preserve">Core y/y</w:t>
            </w:r>
          </w:p>
        </w:tc>
        <w:tc>
          <w:tcPr/>
          <w:p>
            <w:pPr>
              <w:pStyle w:val="Compact"/>
            </w:pPr>
            <w:r>
              <w:t xml:space="preserve">2.4%</w:t>
            </w:r>
          </w:p>
        </w:tc>
        <w:tc>
          <w:tcPr/>
          <w:p>
            <w:pPr>
              <w:pStyle w:val="Compact"/>
            </w:pPr>
            <w:r>
              <w:t xml:space="preserve">2.5% (FactSet 2.4)</w:t>
            </w:r>
          </w:p>
        </w:tc>
        <w:tc>
          <w:tcPr/>
          <w:p>
            <w:pPr>
              <w:pStyle w:val="Compact"/>
            </w:pPr>
            <w:r>
              <w:t xml:space="preserve">2.3–2.6</w:t>
            </w:r>
          </w:p>
        </w:tc>
        <w:tc>
          <w:tcPr/>
          <w:p>
            <w:pPr>
              <w:pStyle w:val="Compact"/>
            </w:pPr>
            <w:r>
              <w:t xml:space="preserve">2.4</w:t>
            </w:r>
          </w:p>
        </w:tc>
        <w:tc>
          <w:tcPr/>
          <w:p>
            <w:pPr>
              <w:pStyle w:val="Compact"/>
            </w:pPr>
            <w:r>
              <w:t xml:space="preserve">−0.1</w:t>
            </w:r>
          </w:p>
        </w:tc>
      </w:tr>
    </w:tbl>
    <w:p>
      <w:pPr>
        <w:pStyle w:val="BodyText"/>
      </w:pPr>
      <w:r>
        <w:rPr>
          <w:b/>
          <w:bCs/>
        </w:rPr>
        <w:t xml:space="preserve">Why we lean slightly above consensus</w:t>
      </w:r>
      <w:r>
        <w:t xml:space="preserve">: Deutsche Bank 0.16%, Wells Fargo 0.20%, Crédit Agricole 0.20% (FinancialJuice, 10/12). Drags: reversal of August’s wireless-services spike and softer used cars. Supports: a modest shelter pickup, a medical-services rebound, and jet fuel feeding airfares. We think the last two are underweighted by 0.02–0.04pp.</w:t>
      </w:r>
      <w:r>
        <w:t xml:space="preserve"> </w:t>
      </w:r>
      <w:r>
        <w:rPr>
          <w:b/>
          <w:bCs/>
        </w:rPr>
        <w:t xml:space="preserve">Base effects (DATA + calculation)</w:t>
      </w:r>
      <w:r>
        <w:t xml:space="preserve">: at +0.22% core, the 3-month annualised rate jumps to about 2.9% as June’s −0.02% drops out, so an</w:t>
      </w:r>
      <w:r>
        <w:t xml:space="preserve"> </w:t>
      </w:r>
      <w:r>
        <w:t xml:space="preserve">“inflation momentum re-accelerates”</w:t>
      </w:r>
      <w:r>
        <w:t xml:space="preserve"> </w:t>
      </w:r>
      <w:r>
        <w:t xml:space="preserve">headline is possible even on an in-line print.</w:t>
      </w:r>
      <w:r>
        <w:t xml:space="preserve"> </w:t>
      </w:r>
      <w:r>
        <w:rPr>
          <w:b/>
          <w:bCs/>
        </w:rPr>
        <w:t xml:space="preserve">The Fed targets PCE</w:t>
      </w:r>
      <w:r>
        <w:t xml:space="preserve">: August core PCE was about 3.0% y/y (FRED, our calculation), above core CPI at 2.45%. Thursday’s PPI components (medical, airfares, portfolio management) matter as much as CPI for the PCE mapping.</w:t>
      </w:r>
    </w:p>
    <w:bookmarkEnd w:id="11"/>
    <w:bookmarkStart w:id="12" w:name="X8b88d460fe7f8a1aab8c30cf604e8a03e07413d"/>
    <w:p>
      <w:pPr>
        <w:pStyle w:val="Heading2"/>
      </w:pPr>
      <w:r>
        <w:t xml:space="preserve">3. Scenario Tree and Market-Reaction Paths (HYPOTHESIS)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Scenario</w:t>
            </w:r>
          </w:p>
        </w:tc>
        <w:tc>
          <w:tcPr/>
          <w:p>
            <w:pPr>
              <w:pStyle w:val="Compact"/>
            </w:pPr>
            <w:r>
              <w:t xml:space="preserve">Core m/m</w:t>
            </w:r>
          </w:p>
        </w:tc>
        <w:tc>
          <w:tcPr/>
          <w:p>
            <w:pPr>
              <w:pStyle w:val="Compact"/>
            </w:pPr>
            <w:r>
              <w:t xml:space="preserve">Prob</w:t>
            </w:r>
          </w:p>
        </w:tc>
        <w:tc>
          <w:tcPr/>
          <w:p>
            <w:pPr>
              <w:pStyle w:val="Compact"/>
            </w:pPr>
            <w:r>
              <w:t xml:space="preserve">2Y</w:t>
            </w:r>
          </w:p>
        </w:tc>
        <w:tc>
          <w:tcPr/>
          <w:p>
            <w:pPr>
              <w:pStyle w:val="Compact"/>
            </w:pPr>
            <w:r>
              <w:t xml:space="preserve">10Y</w:t>
            </w:r>
          </w:p>
        </w:tc>
        <w:tc>
          <w:tcPr/>
          <w:p>
            <w:pPr>
              <w:pStyle w:val="Compact"/>
            </w:pPr>
            <w:r>
              <w:t xml:space="preserve">USD/JPY</w:t>
            </w:r>
          </w:p>
        </w:tc>
        <w:tc>
          <w:tcPr/>
          <w:p>
            <w:pPr>
              <w:pStyle w:val="Compact"/>
            </w:pPr>
            <w:r>
              <w:t xml:space="preserve">NDX</w:t>
            </w:r>
          </w:p>
        </w:tc>
        <w:tc>
          <w:tcPr/>
          <w:p>
            <w:pPr>
              <w:pStyle w:val="Compact"/>
            </w:pPr>
            <w:r>
              <w:t xml:space="preserve">SOX</w:t>
            </w:r>
          </w:p>
        </w:tc>
        <w:tc>
          <w:tcPr/>
          <w:p>
            <w:pPr>
              <w:pStyle w:val="Compact"/>
            </w:pPr>
            <w:r>
              <w:t xml:space="preserve">Oct hike odds</w:t>
            </w:r>
          </w:p>
        </w:tc>
      </w:tr>
      <w:tr>
        <w:tc>
          <w:tcPr/>
          <w:p>
            <w:pPr>
              <w:pStyle w:val="Compact"/>
            </w:pPr>
            <w:r>
              <w:t xml:space="preserve">Bull, Cool</w:t>
            </w:r>
          </w:p>
        </w:tc>
        <w:tc>
          <w:tcPr/>
          <w:p>
            <w:pPr>
              <w:pStyle w:val="Compact"/>
            </w:pPr>
            <w:r>
              <w:t xml:space="preserve">≤0.15%</w:t>
            </w:r>
          </w:p>
        </w:tc>
        <w:tc>
          <w:tcPr/>
          <w:p>
            <w:pPr>
              <w:pStyle w:val="Compact"/>
            </w:pPr>
            <w:r>
              <w:t xml:space="preserve">25%</w:t>
            </w:r>
          </w:p>
        </w:tc>
        <w:tc>
          <w:tcPr/>
          <w:p>
            <w:pPr>
              <w:pStyle w:val="Compact"/>
            </w:pPr>
            <w:r>
              <w:t xml:space="preserve">−8 to −12bp</w:t>
            </w:r>
          </w:p>
        </w:tc>
        <w:tc>
          <w:tcPr/>
          <w:p>
            <w:pPr>
              <w:pStyle w:val="Compact"/>
            </w:pPr>
            <w:r>
              <w:t xml:space="preserve">−5 to −10bp</w:t>
            </w:r>
          </w:p>
        </w:tc>
        <w:tc>
          <w:tcPr/>
          <w:p>
            <w:pPr>
              <w:pStyle w:val="Compact"/>
            </w:pPr>
            <w:r>
              <w:t xml:space="preserve">−0.5 to −1.0</w:t>
            </w:r>
          </w:p>
        </w:tc>
        <w:tc>
          <w:tcPr/>
          <w:p>
            <w:pPr>
              <w:pStyle w:val="Compact"/>
            </w:pPr>
            <w:r>
              <w:t xml:space="preserve">+0.8 to +1.5%</w:t>
            </w:r>
          </w:p>
        </w:tc>
        <w:tc>
          <w:tcPr/>
          <w:p>
            <w:pPr>
              <w:pStyle w:val="Compact"/>
            </w:pPr>
            <w:r>
              <w:t xml:space="preserve">+1 to +2.5%</w:t>
            </w:r>
          </w:p>
        </w:tc>
        <w:tc>
          <w:tcPr/>
          <w:p>
            <w:pPr>
              <w:pStyle w:val="Compact"/>
            </w:pPr>
            <w:r>
              <w:t xml:space="preserve">to ~10%</w:t>
            </w:r>
          </w:p>
        </w:tc>
      </w:tr>
      <w:tr>
        <w:tc>
          <w:tcPr/>
          <w:p>
            <w:pPr>
              <w:pStyle w:val="Compact"/>
            </w:pPr>
            <w:r>
              <w:t xml:space="preserve">Base, Inline</w:t>
            </w:r>
          </w:p>
        </w:tc>
        <w:tc>
          <w:tcPr/>
          <w:p>
            <w:pPr>
              <w:pStyle w:val="Compact"/>
            </w:pPr>
            <w:r>
              <w:t xml:space="preserve">0.16–0.24%</w:t>
            </w:r>
          </w:p>
        </w:tc>
        <w:tc>
          <w:tcPr/>
          <w:p>
            <w:pPr>
              <w:pStyle w:val="Compact"/>
            </w:pPr>
            <w:r>
              <w:t xml:space="preserve">50%</w:t>
            </w:r>
          </w:p>
        </w:tc>
        <w:tc>
          <w:tcPr/>
          <w:p>
            <w:pPr>
              <w:pStyle w:val="Compact"/>
            </w:pPr>
            <w:r>
              <w:t xml:space="preserve">±3bp</w:t>
            </w:r>
          </w:p>
        </w:tc>
        <w:tc>
          <w:tcPr/>
          <w:p>
            <w:pPr>
              <w:pStyle w:val="Compact"/>
            </w:pPr>
            <w:r>
              <w:t xml:space="preserve">±4bp</w:t>
            </w:r>
          </w:p>
        </w:tc>
        <w:tc>
          <w:tcPr/>
          <w:p>
            <w:pPr>
              <w:pStyle w:val="Compact"/>
            </w:pPr>
            <w:r>
              <w:t xml:space="preserve">flat</w:t>
            </w:r>
          </w:p>
        </w:tc>
        <w:tc>
          <w:tcPr/>
          <w:p>
            <w:pPr>
              <w:pStyle w:val="Compact"/>
            </w:pPr>
            <w:r>
              <w:t xml:space="preserve">±0.5%</w:t>
            </w:r>
          </w:p>
        </w:tc>
        <w:tc>
          <w:tcPr/>
          <w:p>
            <w:pPr>
              <w:pStyle w:val="Compact"/>
            </w:pPr>
            <w:r>
              <w:t xml:space="preserve">memory/AI news</w:t>
            </w:r>
          </w:p>
        </w:tc>
        <w:tc>
          <w:tcPr/>
          <w:p>
            <w:pPr>
              <w:pStyle w:val="Compact"/>
            </w:pPr>
            <w:r>
              <w:t xml:space="preserve">15–20%</w:t>
            </w:r>
          </w:p>
        </w:tc>
      </w:tr>
      <w:tr>
        <w:tc>
          <w:tcPr/>
          <w:p>
            <w:pPr>
              <w:pStyle w:val="Compact"/>
            </w:pPr>
            <w:r>
              <w:t xml:space="preserve">Bear, Hot</w:t>
            </w:r>
          </w:p>
        </w:tc>
        <w:tc>
          <w:tcPr/>
          <w:p>
            <w:pPr>
              <w:pStyle w:val="Compact"/>
            </w:pPr>
            <w:r>
              <w:t xml:space="preserve">≥0.25%</w:t>
            </w:r>
          </w:p>
        </w:tc>
        <w:tc>
          <w:tcPr/>
          <w:p>
            <w:pPr>
              <w:pStyle w:val="Compact"/>
            </w:pPr>
            <w:r>
              <w:t xml:space="preserve">25%</w:t>
            </w:r>
          </w:p>
        </w:tc>
        <w:tc>
          <w:tcPr/>
          <w:p>
            <w:pPr>
              <w:pStyle w:val="Compact"/>
            </w:pPr>
            <w:r>
              <w:t xml:space="preserve">+8 to +15bp</w:t>
            </w:r>
          </w:p>
        </w:tc>
        <w:tc>
          <w:tcPr/>
          <w:p>
            <w:pPr>
              <w:pStyle w:val="Compact"/>
            </w:pPr>
            <w:r>
              <w:t xml:space="preserve">+5 to +10bp</w:t>
            </w:r>
          </w:p>
        </w:tc>
        <w:tc>
          <w:tcPr/>
          <w:p>
            <w:pPr>
              <w:pStyle w:val="Compact"/>
            </w:pPr>
            <w:r>
              <w:t xml:space="preserve">+0.5 to +1.0 (159–160 risk)</w:t>
            </w:r>
          </w:p>
        </w:tc>
        <w:tc>
          <w:tcPr/>
          <w:p>
            <w:pPr>
              <w:pStyle w:val="Compact"/>
            </w:pPr>
            <w:r>
              <w:t xml:space="preserve">−1.0 to −2.0%</w:t>
            </w:r>
          </w:p>
        </w:tc>
        <w:tc>
          <w:tcPr/>
          <w:p>
            <w:pPr>
              <w:pStyle w:val="Compact"/>
            </w:pPr>
            <w:r>
              <w:t xml:space="preserve">−1.5 to −3%</w:t>
            </w:r>
          </w:p>
        </w:tc>
        <w:tc>
          <w:tcPr/>
          <w:p>
            <w:pPr>
              <w:pStyle w:val="Compact"/>
            </w:pPr>
            <w:r>
              <w:t xml:space="preserve">to 30–35%</w:t>
            </w:r>
          </w:p>
        </w:tc>
      </w:tr>
    </w:tbl>
    <w:p>
      <w:pPr>
        <w:pStyle w:val="BodyText"/>
      </w:pPr>
      <w:r>
        <w:t xml:space="preserve">Sub-case:</w:t>
      </w:r>
      <w:r>
        <w:t xml:space="preserve"> </w:t>
      </w:r>
      <w:r>
        <w:rPr>
          <w:b/>
          <w:bCs/>
        </w:rPr>
        <w:t xml:space="preserve">headline ≥0.7% with core ≤0.2%</w:t>
      </w:r>
      <w:r>
        <w:t xml:space="preserve"> </w:t>
      </w:r>
      <w:r>
        <w:t xml:space="preserve">means an energy shock that isn’t broadening; bonds may look through it, but a &gt;5bp rise in the 10Y breakeven (now 2.33%) would signal second-round fears.</w:t>
      </w:r>
      <w:r>
        <w:t xml:space="preserve"> </w:t>
      </w:r>
      <w:r>
        <w:rPr>
          <w:b/>
          <w:bCs/>
        </w:rPr>
        <w:t xml:space="preserve">Transmission</w:t>
      </w:r>
      <w:r>
        <w:t xml:space="preserve">: core surprise → Fed path (Oct/Dec odds) → 2Y → 10Y (2.87% real yield + term premium) → USD and USD/JPY → WACC and multiples → NDX/SOX → watchlist (high price-implied growth names are most sensitive). See charts 01 and 03.</w:t>
      </w:r>
    </w:p>
    <w:bookmarkEnd w:id="12"/>
    <w:bookmarkStart w:id="13" w:name="live-observation-checklist-from-2030-sgt"/>
    <w:p>
      <w:pPr>
        <w:pStyle w:val="Heading2"/>
      </w:pPr>
      <w:r>
        <w:t xml:space="preserve">4. Live-Observation Checklist (from 20:30 SGT)</w:t>
      </w:r>
    </w:p>
    <w:p>
      <w:pPr>
        <w:pStyle w:val="FirstParagraph"/>
      </w:pPr>
      <w:r>
        <w:t xml:space="preserve">Write the actual next to each threshold before reading headlines; the Excel</w:t>
      </w:r>
      <w:r>
        <w:t xml:space="preserve"> </w:t>
      </w:r>
      <w:r>
        <w:rPr>
          <w:rStyle w:val="VerbatimChar"/>
        </w:rPr>
        <w:t xml:space="preserve">LiveChecklist</w:t>
      </w:r>
      <w:r>
        <w:t xml:space="preserve"> </w:t>
      </w:r>
      <w:r>
        <w:t xml:space="preserve">sheet classifies automatically.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Watch</w:t>
            </w:r>
          </w:p>
        </w:tc>
        <w:tc>
          <w:tcPr/>
          <w:p>
            <w:pPr>
              <w:pStyle w:val="Compact"/>
            </w:pPr>
            <w:r>
              <w:t xml:space="preserve">Cool</w:t>
            </w:r>
          </w:p>
        </w:tc>
        <w:tc>
          <w:tcPr/>
          <w:p>
            <w:pPr>
              <w:pStyle w:val="Compact"/>
            </w:pPr>
            <w:r>
              <w:t xml:space="preserve">Hot</w:t>
            </w:r>
          </w:p>
        </w:tc>
        <w:tc>
          <w:tcPr/>
          <w:p>
            <w:pPr>
              <w:pStyle w:val="Compact"/>
            </w:pPr>
            <w:r>
              <w:t xml:space="preserve">Why (beginner note)</w:t>
            </w:r>
          </w:p>
        </w:tc>
      </w:tr>
      <w:tr>
        <w:tc>
          <w:tcPr/>
          <w:p>
            <w:pPr>
              <w:pStyle w:val="Compact"/>
            </w:pPr>
            <w:r>
              <w:t xml:space="preserve">1</w:t>
            </w:r>
          </w:p>
        </w:tc>
        <w:tc>
          <w:tcPr/>
          <w:p>
            <w:pPr>
              <w:pStyle w:val="Compact"/>
            </w:pPr>
            <w:r>
              <w:t xml:space="preserve">Core m/m to two decimals</w:t>
            </w:r>
          </w:p>
        </w:tc>
        <w:tc>
          <w:tcPr/>
          <w:p>
            <w:pPr>
              <w:pStyle w:val="Compact"/>
            </w:pPr>
            <w:r>
              <w:t xml:space="preserve">≤0.15</w:t>
            </w:r>
          </w:p>
        </w:tc>
        <w:tc>
          <w:tcPr/>
          <w:p>
            <w:pPr>
              <w:pStyle w:val="Compact"/>
            </w:pPr>
            <w:r>
              <w:t xml:space="preserve">≥0.25</w:t>
            </w:r>
          </w:p>
        </w:tc>
        <w:tc>
          <w:tcPr/>
          <w:p>
            <w:pPr>
              <w:pStyle w:val="Compact"/>
            </w:pPr>
            <w:r>
              <w:t xml:space="preserve">0.24 and 0.25 round to 0.2 and 0.3, which produce opposite headlines</w:t>
            </w:r>
          </w:p>
        </w:tc>
      </w:tr>
      <w:tr>
        <w:tc>
          <w:tcPr/>
          <w:p>
            <w:pPr>
              <w:pStyle w:val="Compact"/>
            </w:pPr>
            <w:r>
              <w:t xml:space="preserve">2</w:t>
            </w:r>
          </w:p>
        </w:tc>
        <w:tc>
          <w:tcPr/>
          <w:p>
            <w:pPr>
              <w:pStyle w:val="Compact"/>
            </w:pPr>
            <w:r>
              <w:t xml:space="preserve">Core y/y</w:t>
            </w:r>
          </w:p>
        </w:tc>
        <w:tc>
          <w:tcPr/>
          <w:p>
            <w:pPr>
              <w:pStyle w:val="Compact"/>
            </w:pPr>
            <w:r>
              <w:t xml:space="preserve">≤2.35</w:t>
            </w:r>
          </w:p>
        </w:tc>
        <w:tc>
          <w:tcPr/>
          <w:p>
            <w:pPr>
              <w:pStyle w:val="Compact"/>
            </w:pPr>
            <w:r>
              <w:t xml:space="preserve">≥2.55</w:t>
            </w:r>
          </w:p>
        </w:tc>
        <w:tc>
          <w:tcPr/>
          <w:p>
            <w:pPr>
              <w:pStyle w:val="Compact"/>
            </w:pPr>
            <w:r>
              <w:t xml:space="preserve">2.4 vs 2.5 is the headline split</w:t>
            </w:r>
          </w:p>
        </w:tc>
      </w:tr>
      <w:tr>
        <w:tc>
          <w:tcPr/>
          <w:p>
            <w:pPr>
              <w:pStyle w:val="Compact"/>
            </w:pPr>
            <w:r>
              <w:t xml:space="preserve">3</w:t>
            </w:r>
          </w:p>
        </w:tc>
        <w:tc>
          <w:tcPr/>
          <w:p>
            <w:pPr>
              <w:pStyle w:val="Compact"/>
            </w:pPr>
            <w:r>
              <w:t xml:space="preserve">Supercore (core services ex-shelter)</w:t>
            </w:r>
          </w:p>
        </w:tc>
        <w:tc>
          <w:tcPr/>
          <w:p>
            <w:pPr>
              <w:pStyle w:val="Compact"/>
            </w:pPr>
            <w:r>
              <w:t xml:space="preserve">&lt;0.20</w:t>
            </w:r>
          </w:p>
        </w:tc>
        <w:tc>
          <w:tcPr/>
          <w:p>
            <w:pPr>
              <w:pStyle w:val="Compact"/>
            </w:pPr>
            <w:r>
              <w:t xml:space="preserve">&gt;0.35</w:t>
            </w:r>
          </w:p>
        </w:tc>
        <w:tc>
          <w:tcPr/>
          <w:p>
            <w:pPr>
              <w:pStyle w:val="Compact"/>
            </w:pPr>
            <w:r>
              <w:t xml:space="preserve">wage-linked and sticky; the Fed’s focus</w:t>
            </w:r>
          </w:p>
        </w:tc>
      </w:tr>
      <w:tr>
        <w:tc>
          <w:tcPr/>
          <w:p>
            <w:pPr>
              <w:pStyle w:val="Compact"/>
            </w:pPr>
            <w:r>
              <w:t xml:space="preserve">4</w:t>
            </w:r>
          </w:p>
        </w:tc>
        <w:tc>
          <w:tcPr/>
          <w:p>
            <w:pPr>
              <w:pStyle w:val="Compact"/>
            </w:pPr>
            <w:r>
              <w:t xml:space="preserve">Shelter / OER (owners’ equivalent rent)</w:t>
            </w:r>
          </w:p>
        </w:tc>
        <w:tc>
          <w:tcPr/>
          <w:p>
            <w:pPr>
              <w:pStyle w:val="Compact"/>
            </w:pPr>
            <w:r>
              <w:t xml:space="preserve">≤0.25</w:t>
            </w:r>
          </w:p>
        </w:tc>
        <w:tc>
          <w:tcPr/>
          <w:p>
            <w:pPr>
              <w:pStyle w:val="Compact"/>
            </w:pPr>
            <w:r>
              <w:t xml:space="preserve">&gt;0.35</w:t>
            </w:r>
          </w:p>
        </w:tc>
        <w:tc>
          <w:tcPr/>
          <w:p>
            <w:pPr>
              <w:pStyle w:val="Compact"/>
            </w:pPr>
            <w:r>
              <w:t xml:space="preserve">about a third of CPI; slow but heavy</w:t>
            </w:r>
          </w:p>
        </w:tc>
      </w:tr>
      <w:tr>
        <w:tc>
          <w:tcPr/>
          <w:p>
            <w:pPr>
              <w:pStyle w:val="Compact"/>
            </w:pPr>
            <w:r>
              <w:t xml:space="preserve">5</w:t>
            </w:r>
          </w:p>
        </w:tc>
        <w:tc>
          <w:tcPr/>
          <w:p>
            <w:pPr>
              <w:pStyle w:val="Compact"/>
            </w:pPr>
            <w:r>
              <w:t xml:space="preserve">Core goods</w:t>
            </w:r>
          </w:p>
        </w:tc>
        <w:tc>
          <w:tcPr/>
          <w:p>
            <w:pPr>
              <w:pStyle w:val="Compact"/>
            </w:pPr>
            <w:r>
              <w:t xml:space="preserve">≤0.0</w:t>
            </w:r>
          </w:p>
        </w:tc>
        <w:tc>
          <w:tcPr/>
          <w:p>
            <w:pPr>
              <w:pStyle w:val="Compact"/>
            </w:pPr>
            <w:r>
              <w:t xml:space="preserve">&gt;0.20</w:t>
            </w:r>
          </w:p>
        </w:tc>
        <w:tc>
          <w:tcPr/>
          <w:p>
            <w:pPr>
              <w:pStyle w:val="Compact"/>
            </w:pPr>
            <w:r>
              <w:t xml:space="preserve">tariff and supply pass-through</w:t>
            </w:r>
          </w:p>
        </w:tc>
      </w:tr>
      <w:tr>
        <w:tc>
          <w:tcPr/>
          <w:p>
            <w:pPr>
              <w:pStyle w:val="Compact"/>
            </w:pPr>
            <w:r>
              <w:t xml:space="preserve">6</w:t>
            </w:r>
          </w:p>
        </w:tc>
        <w:tc>
          <w:tcPr/>
          <w:p>
            <w:pPr>
              <w:pStyle w:val="Compact"/>
            </w:pPr>
            <w:r>
              <w:t xml:space="preserve">Airfares, transport services</w:t>
            </w:r>
          </w:p>
        </w:tc>
        <w:tc>
          <w:tcPr/>
          <w:p>
            <w:pPr>
              <w:pStyle w:val="Compact"/>
            </w:pPr>
            <w:r>
              <w:t xml:space="preserve">—</w:t>
            </w:r>
          </w:p>
        </w:tc>
        <w:tc>
          <w:tcPr/>
          <w:p>
            <w:pPr>
              <w:pStyle w:val="Compact"/>
            </w:pPr>
            <w:r>
              <w:t xml:space="preserve">big jump</w:t>
            </w:r>
          </w:p>
        </w:tc>
        <w:tc>
          <w:tcPr/>
          <w:p>
            <w:pPr>
              <w:pStyle w:val="Compact"/>
            </w:pPr>
            <w:r>
              <w:t xml:space="preserve">energy second-round effects</w:t>
            </w:r>
          </w:p>
        </w:tc>
      </w:tr>
      <w:tr>
        <w:tc>
          <w:tcPr/>
          <w:p>
            <w:pPr>
              <w:pStyle w:val="Compact"/>
            </w:pPr>
            <w:r>
              <w:t xml:space="preserve">7</w:t>
            </w:r>
          </w:p>
        </w:tc>
        <w:tc>
          <w:tcPr/>
          <w:p>
            <w:pPr>
              <w:pStyle w:val="Compact"/>
            </w:pPr>
            <w:r>
              <w:t xml:space="preserve">2Y, first 15 minutes</w:t>
            </w:r>
          </w:p>
        </w:tc>
        <w:tc>
          <w:tcPr/>
          <w:p>
            <w:pPr>
              <w:pStyle w:val="Compact"/>
            </w:pPr>
            <w:r>
              <w:t xml:space="preserve">≤−8bp</w:t>
            </w:r>
          </w:p>
        </w:tc>
        <w:tc>
          <w:tcPr/>
          <w:p>
            <w:pPr>
              <w:pStyle w:val="Compact"/>
            </w:pPr>
            <w:r>
              <w:t xml:space="preserve">≥+8bp</w:t>
            </w:r>
          </w:p>
        </w:tc>
        <w:tc>
          <w:tcPr/>
          <w:p>
            <w:pPr>
              <w:pStyle w:val="Compact"/>
            </w:pPr>
            <w:r>
              <w:t xml:space="preserve">the market’s vote on the Fed path; &lt;3bp means priced</w:t>
            </w:r>
          </w:p>
        </w:tc>
      </w:tr>
      <w:tr>
        <w:tc>
          <w:tcPr/>
          <w:p>
            <w:pPr>
              <w:pStyle w:val="Compact"/>
            </w:pPr>
            <w:r>
              <w:t xml:space="preserve">8</w:t>
            </w:r>
          </w:p>
        </w:tc>
        <w:tc>
          <w:tcPr/>
          <w:p>
            <w:pPr>
              <w:pStyle w:val="Compact"/>
            </w:pPr>
            <w:r>
              <w:t xml:space="preserve">10Y vs 2Y direction</w:t>
            </w:r>
          </w:p>
        </w:tc>
        <w:tc>
          <w:tcPr/>
          <w:p>
            <w:pPr>
              <w:pStyle w:val="Compact"/>
            </w:pPr>
            <w:r>
              <w:t xml:space="preserve">—</w:t>
            </w:r>
          </w:p>
        </w:tc>
        <w:tc>
          <w:tcPr/>
          <w:p>
            <w:pPr>
              <w:pStyle w:val="Compact"/>
            </w:pPr>
            <w:r>
              <w:t xml:space="preserve">hot but 10Y falls</w:t>
            </w:r>
          </w:p>
        </w:tc>
        <w:tc>
          <w:tcPr/>
          <w:p>
            <w:pPr>
              <w:pStyle w:val="Compact"/>
            </w:pPr>
            <w:r>
              <w:t xml:space="preserve">growth fear, so our map fails for the day</w:t>
            </w:r>
          </w:p>
        </w:tc>
      </w:tr>
      <w:tr>
        <w:tc>
          <w:tcPr/>
          <w:p>
            <w:pPr>
              <w:pStyle w:val="Compact"/>
            </w:pPr>
            <w:r>
              <w:t xml:space="preserve">9</w:t>
            </w:r>
          </w:p>
        </w:tc>
        <w:tc>
          <w:tcPr/>
          <w:p>
            <w:pPr>
              <w:pStyle w:val="Compact"/>
            </w:pPr>
            <w:r>
              <w:t xml:space="preserve">USD/JPY</w:t>
            </w:r>
          </w:p>
        </w:tc>
        <w:tc>
          <w:tcPr/>
          <w:p>
            <w:pPr>
              <w:pStyle w:val="Compact"/>
            </w:pPr>
            <w:r>
              <w:t xml:space="preserve">≤157</w:t>
            </w:r>
          </w:p>
        </w:tc>
        <w:tc>
          <w:tcPr/>
          <w:p>
            <w:pPr>
              <w:pStyle w:val="Compact"/>
            </w:pPr>
            <w:r>
              <w:t xml:space="preserve">≥159.5</w:t>
            </w:r>
          </w:p>
        </w:tc>
        <w:tc>
          <w:tcPr/>
          <w:p>
            <w:pPr>
              <w:pStyle w:val="Compact"/>
            </w:pPr>
            <w:r>
              <w:t xml:space="preserve">Japan intervened near 160 in 2024 (FACT); verbal-intervention risk rises (INFERENCE)</w:t>
            </w:r>
          </w:p>
        </w:tc>
      </w:tr>
      <w:tr>
        <w:tc>
          <w:tcPr/>
          <w:p>
            <w:pPr>
              <w:pStyle w:val="Compact"/>
            </w:pPr>
            <w:r>
              <w:t xml:space="preserve">10</w:t>
            </w:r>
          </w:p>
        </w:tc>
        <w:tc>
          <w:tcPr/>
          <w:p>
            <w:pPr>
              <w:pStyle w:val="Compact"/>
            </w:pPr>
            <w:r>
              <w:t xml:space="preserve">Oct hike odds (CME/Kalshi)</w:t>
            </w:r>
          </w:p>
        </w:tc>
        <w:tc>
          <w:tcPr/>
          <w:p>
            <w:pPr>
              <w:pStyle w:val="Compact"/>
            </w:pPr>
            <w:r>
              <w:t xml:space="preserve">≤12%</w:t>
            </w:r>
          </w:p>
        </w:tc>
        <w:tc>
          <w:tcPr/>
          <w:p>
            <w:pPr>
              <w:pStyle w:val="Compact"/>
            </w:pPr>
            <w:r>
              <w:t xml:space="preserve">≥30%</w:t>
            </w:r>
          </w:p>
        </w:tc>
        <w:tc>
          <w:tcPr/>
          <w:p>
            <w:pPr>
              <w:pStyle w:val="Compact"/>
            </w:pPr>
            <w:r>
              <w:t xml:space="preserve">above 30% makes Oct 28</w:t>
            </w:r>
            <w:r>
              <w:t xml:space="preserve"> </w:t>
            </w:r>
            <w:r>
              <w:t xml:space="preserve">“live”</w:t>
            </w:r>
          </w:p>
        </w:tc>
      </w:tr>
      <w:tr>
        <w:tc>
          <w:tcPr/>
          <w:p>
            <w:pPr>
              <w:pStyle w:val="Compact"/>
            </w:pPr>
            <w:r>
              <w:t xml:space="preserve">11</w:t>
            </w:r>
          </w:p>
        </w:tc>
        <w:tc>
          <w:tcPr/>
          <w:p>
            <w:pPr>
              <w:pStyle w:val="Compact"/>
            </w:pPr>
            <w:r>
              <w:t xml:space="preserve">First 30 min vs close</w:t>
            </w:r>
          </w:p>
        </w:tc>
        <w:tc>
          <w:tcPr/>
          <w:p>
            <w:pPr>
              <w:pStyle w:val="Compact"/>
            </w:pPr>
            <w:r>
              <w:t xml:space="preserve">—</w:t>
            </w:r>
          </w:p>
        </w:tc>
        <w:tc>
          <w:tcPr/>
          <w:p>
            <w:pPr>
              <w:pStyle w:val="Compact"/>
            </w:pPr>
            <w:r>
              <w:t xml:space="preserve">—</w:t>
            </w:r>
          </w:p>
        </w:tc>
        <w:tc>
          <w:tcPr/>
          <w:p>
            <w:pPr>
              <w:pStyle w:val="Compact"/>
            </w:pPr>
            <w:r>
              <w:t xml:space="preserve">headline reaction vs fundamental change; a reversal means positioning</w:t>
            </w:r>
          </w:p>
        </w:tc>
      </w:tr>
    </w:tbl>
    <w:bookmarkEnd w:id="13"/>
    <w:bookmarkStart w:id="14" w:name="affected-watchlist-stocks"/>
    <w:p>
      <w:pPr>
        <w:pStyle w:val="Heading2"/>
      </w:pPr>
      <w:r>
        <w:t xml:space="preserve">5. Affected Watchlist Stocks</w:t>
      </w:r>
    </w:p>
    <w:p>
      <w:pPr>
        <w:pStyle w:val="FirstParagraph"/>
      </w:pPr>
      <w:r>
        <w:rPr>
          <w:b/>
          <w:bCs/>
        </w:rPr>
        <w:t xml:space="preserve">Rate sensitivity (DATA: average same-day move per +10bp in the 10Y over the past year; R² is low, so treat as a guide)</w:t>
      </w:r>
      <w:r>
        <w:t xml:space="preserve">: CCL −2.59% (R² 0.12, the highest; also hit by fuel and real incomes), ARM −2.56%, SPCX −2.56% (83 trading days since IPO), MRVL −1.84%, RKLB −1.77%, INTC −1.53%, GLW −1.49%, KLAC −1.21%, CIEN −1.18%, QCOM −1.16%, AMD −1.05%; NDX −0.67%, SOX −0.89%. Low sensitivity: CRWV, CRWD, EME, PWR, NVDA, AAPL. SIMO, LITE and MXL show positive but noise-level betas (R² about 0). See chart 04.</w:t>
      </w:r>
      <w:r>
        <w:t xml:space="preserve"> </w:t>
      </w:r>
      <w:r>
        <w:rPr>
          <w:b/>
          <w:bCs/>
        </w:rPr>
        <w:t xml:space="preserve">Valuation lens (OS models, HYPOTHESIS)</w:t>
      </w:r>
      <w:r>
        <w:t xml:space="preserve">: the widest gaps between price-implied Y1 growth and consensus are RKLB (115% vs 41%), TSLA (81% vs 14%), INTC (69% vs 15%), CRWD (74% vs 23%), ARM (78% vs 36%), PLTR (88% vs 50%), KLAC and PWR. These are long-duration assets that need continued beats; a lasting discount-rate rise hurts their fair value most (Excel</w:t>
      </w:r>
      <w:r>
        <w:t xml:space="preserve"> </w:t>
      </w:r>
      <w:r>
        <w:rPr>
          <w:rStyle w:val="VerbatimChar"/>
        </w:rPr>
        <w:t xml:space="preserve">Valuation</w:t>
      </w:r>
      <w:r>
        <w:t xml:space="preserve">: a sustained +8bp cuts NVDA’s fair value by about 0.8% using a duration approximation).</w:t>
      </w:r>
      <w:r>
        <w:t xml:space="preserve"> </w:t>
      </w:r>
      <w:r>
        <w:rPr>
          <w:b/>
          <w:bCs/>
        </w:rPr>
        <w:t xml:space="preserve">Names on the event chain</w:t>
      </w:r>
      <w:r>
        <w:t xml:space="preserve">: TSM reports 10/15 14:00 SGT (Q3 guide US$44.6–45.8bn, GM 65–67%), so CPI sets the mood. AMAT/KLAC/INTC read ASML at 13:00 SGT first. MU/SIMO fell today on CXMT, not rates; if CPI is cool and MU still lags, the driver is the Industry/AI multiple. CCL is exposed to gasoline and the Real Earnings release. EME/PWR/CRWV carry project-financing sensitivity to long rates.</w:t>
      </w:r>
    </w:p>
    <w:bookmarkEnd w:id="14"/>
    <w:bookmarkStart w:id="15" w:name="falsifiers"/>
    <w:p>
      <w:pPr>
        <w:pStyle w:val="Heading2"/>
      </w:pPr>
      <w:r>
        <w:t xml:space="preserve">6. Falsifiers</w:t>
      </w:r>
    </w:p>
    <w:p>
      <w:pPr>
        <w:pStyle w:val="Compact"/>
        <w:numPr>
          <w:ilvl w:val="0"/>
          <w:numId w:val="1002"/>
        </w:numPr>
      </w:pPr>
      <w:r>
        <w:t xml:space="preserve">Core ≥0.25% but the 10Y falls and the 2Y rises &lt;5bp: already priced or a growth scare; the hot → rates up → tech down map fails.</w:t>
      </w:r>
    </w:p>
    <w:p>
      <w:pPr>
        <w:pStyle w:val="Compact"/>
        <w:numPr>
          <w:ilvl w:val="0"/>
          <w:numId w:val="1002"/>
        </w:numPr>
      </w:pPr>
      <w:r>
        <w:t xml:space="preserve">Core ≤0.15% but SOX still falls &gt;1.5%: semis are trading AI cost of capital and memory supply; downweight the Rates term.</w:t>
      </w:r>
    </w:p>
    <w:p>
      <w:pPr>
        <w:pStyle w:val="Compact"/>
        <w:numPr>
          <w:ilvl w:val="0"/>
          <w:numId w:val="1002"/>
        </w:numPr>
      </w:pPr>
      <w:r>
        <w:t xml:space="preserve">An in-line print that moves October odds by &gt;15pp: extreme positioning fragility; raise the ΔPositioning weight.</w:t>
      </w:r>
    </w:p>
    <w:p>
      <w:pPr>
        <w:pStyle w:val="Compact"/>
        <w:numPr>
          <w:ilvl w:val="0"/>
          <w:numId w:val="1002"/>
        </w:numPr>
      </w:pPr>
      <w:r>
        <w:t xml:space="preserve">Headline ≥0.7%, core ≤0.2%, and the 10Y breakeven up &gt;5bp: second-round energy fear; the</w:t>
      </w:r>
      <w:r>
        <w:t xml:space="preserve"> </w:t>
      </w:r>
      <w:r>
        <w:t xml:space="preserve">“Fed can look through energy”</w:t>
      </w:r>
      <w:r>
        <w:t xml:space="preserve"> </w:t>
      </w:r>
      <w:r>
        <w:t xml:space="preserve">assumption fails.</w:t>
      </w:r>
    </w:p>
    <w:p>
      <w:pPr>
        <w:pStyle w:val="Compact"/>
        <w:numPr>
          <w:ilvl w:val="0"/>
          <w:numId w:val="1002"/>
        </w:numPr>
      </w:pPr>
      <w:r>
        <w:t xml:space="preserve">If actual core lands outside 0.16–0.24, log a Fundamental Forecast error and identify which component (shelter, medical, airfares) we misjudged.</w:t>
      </w:r>
    </w:p>
    <w:bookmarkEnd w:id="15"/>
    <w:bookmarkStart w:id="16" w:name="beige-book-and-asml-previews"/>
    <w:p>
      <w:pPr>
        <w:pStyle w:val="Heading2"/>
      </w:pPr>
      <w:r>
        <w:t xml:space="preserve">7. Beige Book and ASML Previews</w:t>
      </w:r>
    </w:p>
    <w:p>
      <w:pPr>
        <w:pStyle w:val="Compact"/>
        <w:numPr>
          <w:ilvl w:val="0"/>
          <w:numId w:val="1003"/>
        </w:numPr>
      </w:pPr>
      <w:r>
        <w:rPr>
          <w:b/>
          <w:bCs/>
        </w:rPr>
        <w:t xml:space="preserve">Beige Book (10/15 02:00 SGT)</w:t>
      </w:r>
      <w:r>
        <w:t xml:space="preserve">: (a) are firms passing energy costs through; (b) how broad is hiring softness; (c) AI-investment anecdotes on power, construction and hiring.</w:t>
      </w:r>
      <w:r>
        <w:t xml:space="preserve"> </w:t>
      </w:r>
      <w:r>
        <w:t xml:space="preserve">“Modest price gains plus flat or softer employment”</w:t>
      </w:r>
      <w:r>
        <w:t xml:space="preserve"> </w:t>
      </w:r>
      <w:r>
        <w:t xml:space="preserve">supports an October pause.</w:t>
      </w:r>
    </w:p>
    <w:p>
      <w:pPr>
        <w:pStyle w:val="Compact"/>
        <w:numPr>
          <w:ilvl w:val="0"/>
          <w:numId w:val="1003"/>
        </w:numPr>
      </w:pPr>
      <w:r>
        <w:rPr>
          <w:b/>
          <w:bCs/>
        </w:rPr>
        <w:t xml:space="preserve">ASML (10/14 13:00 SGT)</w:t>
      </w:r>
      <w:r>
        <w:t xml:space="preserve">: prior guide Q3 sales €11–12bn, GM 55–57%, FY €43–45bn (secondary sources). Watch bookings, 2027 visibility, China share and memory-customer capex, which matters more after today’s Korean memory rout.</w:t>
      </w:r>
    </w:p>
    <w:bookmarkEnd w:id="16"/>
    <w:bookmarkStart w:id="17" w:name="thinking-tutorial"/>
    <w:p>
      <w:pPr>
        <w:pStyle w:val="Heading2"/>
      </w:pPr>
      <w:r>
        <w:t xml:space="preserve">8. Thinking Tutorial</w:t>
      </w:r>
    </w:p>
    <w:p>
      <w:pPr>
        <w:pStyle w:val="FirstParagraph"/>
      </w:pPr>
      <w:r>
        <w:t xml:space="preserve">What to observe (core m/m to two decimals, supercore) → why (the Fed’s reaction function runs on sticky inflation) → evidence (components plus the 2Y in the first 15 minutes) → transmission (2Y → 10Y → WACC → multiples) → alternatives (growth fear, positioning, AI cost-of-capital, yen) → falsifiers (section 6) → watch next (10/15 PPI and retail sales, TSMC, Warsh 10/16 11:30 SGT).</w:t>
      </w:r>
    </w:p>
    <w:bookmarkEnd w:id="17"/>
    <w:bookmarkStart w:id="18" w:name="final-self-challenge"/>
    <w:p>
      <w:pPr>
        <w:pStyle w:val="Heading2"/>
      </w:pPr>
      <w:r>
        <w:t xml:space="preserve">9. Final Self-Challenge</w:t>
      </w:r>
    </w:p>
    <w:p>
      <w:pPr>
        <w:pStyle w:val="Compact"/>
        <w:numPr>
          <w:ilvl w:val="0"/>
          <w:numId w:val="1004"/>
        </w:numPr>
      </w:pPr>
      <w:r>
        <w:t xml:space="preserve">Is our 0.22% lean anchored on August’s 0.29%? Bank forecasts cluster at 0.16–0.20%, so our tilt may be noise.</w:t>
      </w:r>
    </w:p>
    <w:p>
      <w:pPr>
        <w:pStyle w:val="Compact"/>
        <w:numPr>
          <w:ilvl w:val="0"/>
          <w:numId w:val="1004"/>
        </w:numPr>
      </w:pPr>
      <w:r>
        <w:t xml:space="preserve">A 10Y above 5.2% mostly reflects term premium and fiscal supply, not CPI; even a cool print may not lift the long end, so growth-stock valuation pressure may not ease.</w:t>
      </w:r>
    </w:p>
    <w:p>
      <w:pPr>
        <w:pStyle w:val="Compact"/>
        <w:numPr>
          <w:ilvl w:val="0"/>
          <w:numId w:val="1004"/>
        </w:numPr>
      </w:pPr>
      <w:r>
        <w:t xml:space="preserve">Today’s semis problem (CXMT, cost of capital) has nothing to do with CPI; attributing tomorrow night’s semis move entirely to CPI would be a classic misattribution.</w:t>
      </w:r>
    </w:p>
    <w:bookmarkEnd w:id="18"/>
    <w:bookmarkStart w:id="19" w:name="data-conflicts-and-model-notes"/>
    <w:p>
      <w:pPr>
        <w:pStyle w:val="Heading2"/>
      </w:pPr>
      <w:r>
        <w:t xml:space="preserve">10. Data Conflicts and Model Notes</w:t>
      </w:r>
    </w:p>
    <w:p>
      <w:pPr>
        <w:pStyle w:val="Compact"/>
        <w:numPr>
          <w:ilvl w:val="0"/>
          <w:numId w:val="1005"/>
        </w:numPr>
      </w:pPr>
      <w:r>
        <w:t xml:space="preserve">Morningstar’s text says</w:t>
      </w:r>
      <w:r>
        <w:t xml:space="preserve"> </w:t>
      </w:r>
      <w:r>
        <w:t xml:space="preserve">“Wednesday, Oct. 15”</w:t>
      </w:r>
      <w:r>
        <w:t xml:space="preserve">, which conflicts with the BLS schedule (Wednesday 10/14); we follow BLS. predictionauthority mislabels 10/14 as Tuesday.</w:t>
      </w:r>
    </w:p>
    <w:p>
      <w:pPr>
        <w:pStyle w:val="Compact"/>
        <w:numPr>
          <w:ilvl w:val="0"/>
          <w:numId w:val="1005"/>
        </w:numPr>
      </w:pPr>
      <w:r>
        <w:t xml:space="preserve">Core y/y consensus differs: 2.4% (FactSet) vs 2.5% (TD/FinancialJuice); headline m/m 0.5% vs 0.6%.</w:t>
      </w:r>
    </w:p>
    <w:p>
      <w:pPr>
        <w:pStyle w:val="Compact"/>
        <w:numPr>
          <w:ilvl w:val="0"/>
          <w:numId w:val="1005"/>
        </w:numPr>
      </w:pPr>
      <w:r>
        <w:rPr>
          <w:b/>
          <w:bCs/>
        </w:rPr>
        <w:t xml:space="preserve">OS pipeline issue</w:t>
      </w:r>
      <w:r>
        <w:t xml:space="preserve">: the dashboard’s CPI y/y uses a 12-row lag; with October 2025 missing (shutdown) it shows CPI 3.71% and core 2.76% instead of the correct 3.35% and 2.45% for August. This book uses calendar-matched y/y. Pipeline fix pending.</w:t>
      </w:r>
    </w:p>
    <w:p>
      <w:pPr>
        <w:pStyle w:val="FirstParagraph"/>
      </w:pPr>
      <w:r>
        <w:t xml:space="preserve">Source Ledger, Assumption Register and Model Provenance are in the Excel workbook’s sheets of the same names; the Chinese edition and beginner teaching editions are in the same folder.</w:t>
      </w:r>
    </w:p>
    <w:bookmarkEnd w:id="19"/>
    <w:bookmarkStart w:id="35" w:name="图表-charts"/>
    <w:p>
      <w:pPr>
        <w:pStyle w:val="Heading2"/>
      </w:pPr>
      <w:r>
        <w:rPr>
          <w:rFonts w:hint="eastAsia"/>
        </w:rPr>
        <w:t xml:space="preserve">图表</w:t>
      </w:r>
      <w:r>
        <w:t xml:space="preserve"> Charts</w:t>
      </w:r>
    </w:p>
    <w:p>
      <w:pPr>
        <w:pStyle w:val="CaptionedFigure"/>
      </w:pPr>
      <w:r>
        <w:drawing>
          <wp:inline>
            <wp:extent cx="5334000" cy="3000374"/>
            <wp:effectExtent b="0" l="0" r="0" t="0"/>
            <wp:docPr descr="传导链 Transmission chain" title="" id="21" name="Picture"/>
            <a:graphic>
              <a:graphicData uri="http://schemas.openxmlformats.org/drawingml/2006/picture">
                <pic:pic>
                  <pic:nvPicPr>
                    <pic:cNvPr descr="images/01_transmission_chain.png" id="22" name="Picture"/>
                    <pic:cNvPicPr>
                      <a:picLocks noChangeArrowheads="1" noChangeAspect="1"/>
                    </pic:cNvPicPr>
                  </pic:nvPicPr>
                  <pic:blipFill>
                    <a:blip r:embed="rId20"/>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rPr>
          <w:rFonts w:hint="eastAsia"/>
        </w:rPr>
        <w:t xml:space="preserve">传导链</w:t>
      </w:r>
      <w:r>
        <w:t xml:space="preserve"> Transmission chain</w:t>
      </w:r>
    </w:p>
    <w:p>
      <w:pPr>
        <w:pStyle w:val="CaptionedFigure"/>
      </w:pPr>
      <w:r>
        <w:drawing>
          <wp:inline>
            <wp:extent cx="5334000" cy="3000374"/>
            <wp:effectExtent b="0" l="0" r="0" t="0"/>
            <wp:docPr descr="预期差 Expectation gap" title="" id="24" name="Picture"/>
            <a:graphic>
              <a:graphicData uri="http://schemas.openxmlformats.org/drawingml/2006/picture">
                <pic:pic>
                  <pic:nvPicPr>
                    <pic:cNvPr descr="images/02_expectation_gap.png" id="25" name="Picture"/>
                    <pic:cNvPicPr>
                      <a:picLocks noChangeArrowheads="1" noChangeAspect="1"/>
                    </pic:cNvPicPr>
                  </pic:nvPicPr>
                  <pic:blipFill>
                    <a:blip r:embed="rId23"/>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rPr>
          <w:rFonts w:hint="eastAsia"/>
        </w:rPr>
        <w:t xml:space="preserve">预期差</w:t>
      </w:r>
      <w:r>
        <w:t xml:space="preserve"> Expectation gap</w:t>
      </w:r>
    </w:p>
    <w:p>
      <w:pPr>
        <w:pStyle w:val="CaptionedFigure"/>
      </w:pPr>
      <w:r>
        <w:drawing>
          <wp:inline>
            <wp:extent cx="5334000" cy="3000374"/>
            <wp:effectExtent b="0" l="0" r="0" t="0"/>
            <wp:docPr descr="情景树 Scenario tree" title="" id="27" name="Picture"/>
            <a:graphic>
              <a:graphicData uri="http://schemas.openxmlformats.org/drawingml/2006/picture">
                <pic:pic>
                  <pic:nvPicPr>
                    <pic:cNvPr descr="images/03_scenarios_reaction_paths.png" id="28" name="Picture"/>
                    <pic:cNvPicPr>
                      <a:picLocks noChangeArrowheads="1" noChangeAspect="1"/>
                    </pic:cNvPicPr>
                  </pic:nvPicPr>
                  <pic:blipFill>
                    <a:blip r:embed="rId26"/>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rPr>
          <w:rFonts w:hint="eastAsia"/>
        </w:rPr>
        <w:t xml:space="preserve">情景树</w:t>
      </w:r>
      <w:r>
        <w:t xml:space="preserve"> Scenario tree</w:t>
      </w:r>
    </w:p>
    <w:p>
      <w:pPr>
        <w:pStyle w:val="CaptionedFigure"/>
      </w:pPr>
      <w:r>
        <w:drawing>
          <wp:inline>
            <wp:extent cx="5334000" cy="3000374"/>
            <wp:effectExtent b="0" l="0" r="0" t="0"/>
            <wp:docPr descr="利率敏感度 Rate sensitivity" title="" id="30" name="Picture"/>
            <a:graphic>
              <a:graphicData uri="http://schemas.openxmlformats.org/drawingml/2006/picture">
                <pic:pic>
                  <pic:nvPicPr>
                    <pic:cNvPr descr="images/04_watchlist_rate_sensitivity.png" id="31" name="Picture"/>
                    <pic:cNvPicPr>
                      <a:picLocks noChangeArrowheads="1" noChangeAspect="1"/>
                    </pic:cNvPicPr>
                  </pic:nvPicPr>
                  <pic:blipFill>
                    <a:blip r:embed="rId29"/>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rPr>
          <w:rFonts w:hint="eastAsia"/>
        </w:rPr>
        <w:t xml:space="preserve">利率敏感度</w:t>
      </w:r>
      <w:r>
        <w:t xml:space="preserve"> Rate sensitivity</w:t>
      </w:r>
    </w:p>
    <w:p>
      <w:pPr>
        <w:pStyle w:val="CaptionedFigure"/>
      </w:pPr>
      <w:r>
        <w:drawing>
          <wp:inline>
            <wp:extent cx="5334000" cy="3000374"/>
            <wp:effectExtent b="0" l="0" r="0" t="0"/>
            <wp:docPr descr="盘中时间表 Live timeline" title="" id="33" name="Picture"/>
            <a:graphic>
              <a:graphicData uri="http://schemas.openxmlformats.org/drawingml/2006/picture">
                <pic:pic>
                  <pic:nvPicPr>
                    <pic:cNvPr descr="images/05_live_timeline_checklist.png" id="34" name="Picture"/>
                    <pic:cNvPicPr>
                      <a:picLocks noChangeArrowheads="1" noChangeAspect="1"/>
                    </pic:cNvPicPr>
                  </pic:nvPicPr>
                  <pic:blipFill>
                    <a:blip r:embed="rId3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rPr>
          <w:rFonts w:hint="eastAsia"/>
        </w:rPr>
        <w:t xml:space="preserve">盘中时间表</w:t>
      </w:r>
      <w:r>
        <w:t xml:space="preserve"> Live timeline</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2026-10-13T10:08:58Z</dcterms:created>
  <dcterms:modified xsi:type="dcterms:W3CDTF">2026-10-13T10:08:58Z</dcterms:modified>
</cp:coreProperties>
</file>

<file path=docProps/custom.xml><?xml version="1.0" encoding="utf-8"?>
<Properties xmlns="http://schemas.openxmlformats.org/officeDocument/2006/custom-properties" xmlns:vt="http://schemas.openxmlformats.org/officeDocument/2006/docPropsVTypes"/>
</file>