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d1a60b368f58f82c14a4bfd7be7a49d280b869"/>
    <w:p>
      <w:pPr>
        <w:pStyle w:val="Heading1"/>
      </w:pPr>
      <w:r>
        <w:t xml:space="preserve">MXL MaxLinear,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MaxLinear,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$88.64；距</w:t>
      </w:r>
      <w:r>
        <w:t xml:space="preserve"> 2026-06-30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-30.5%。主题：Broadband/connectivity/optical</w:t>
      </w:r>
      <w:r>
        <w:t xml:space="preserve"> DSP </w:t>
      </w:r>
      <w:r>
        <w:rPr>
          <w:rFonts w:hint="eastAsia"/>
        </w:rPr>
        <w:t xml:space="preserve">宽带/连接/光DSP。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68.9%，一致预期</w:t>
      </w:r>
      <w:r>
        <w:t xml:space="preserve"> </w:t>
      </w:r>
      <w:r>
        <w:rPr>
          <w:rFonts w:hint="eastAsia"/>
        </w:rPr>
        <w:t xml:space="preserve">29.9%；三情景价值</w:t>
      </w:r>
      <w:r>
        <w:t xml:space="preserve"> $8/$22/$41。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2026-10-23（TENTATIVE</w:t>
      </w:r>
      <w:r>
        <w:t xml:space="preserve"> </w:t>
      </w:r>
      <w:r>
        <w:rPr>
          <w:rFonts w:hint="eastAsia"/>
        </w:rPr>
        <w:t xml:space="preserve">直至公司确认）；盯：基础设施收入、毛利率、营业利润率、设计订单。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Broadband/connectivity/optical DSP </w:t>
      </w:r>
      <w:r>
        <w:rPr>
          <w:rFonts w:hint="eastAsia"/>
        </w:rPr>
        <w:t xml:space="preserve">宽带/连接/光DSP。持有者在乎的是：MaxLinear是小型复苏+期权标的：宽带周期复苏加上Keystone</w:t>
      </w:r>
      <w:r>
        <w:t xml:space="preserve"> </w:t>
      </w:r>
      <w:r>
        <w:rPr>
          <w:rFonts w:hint="eastAsia"/>
        </w:rPr>
        <w:t xml:space="preserve">PAM4光DSP与Panther存储加速器打入AI数据中心的可能性；利润率与执行风险高。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68.9%，一致预期</w:t>
      </w:r>
      <w:r>
        <w:t xml:space="preserve"> </w:t>
      </w:r>
      <w:r>
        <w:rPr>
          <w:rFonts w:hint="eastAsia"/>
        </w:rPr>
        <w:t xml:space="preserve">29.9%——市场定价比分析师更乐观。P/E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55.2%）→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57.8%）→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断点：Keystone</w:t>
      </w:r>
      <w:r>
        <w:t xml:space="preserve"> DSP qualification at </w:t>
      </w:r>
      <w:r>
        <w:rPr>
          <w:rFonts w:hint="eastAsia"/>
        </w:rPr>
        <w:t xml:space="preserve">hyperscalers｜Keystone</w:t>
      </w:r>
      <w:r>
        <w:t xml:space="preserve"> </w:t>
      </w:r>
      <w:r>
        <w:rPr>
          <w:rFonts w:hint="eastAsia"/>
        </w:rPr>
        <w:t xml:space="preserve">DSP在云厂认证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折现。MXL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57.8%；收入同比</w:t>
      </w:r>
      <w:r>
        <w:t xml:space="preserve"> </w:t>
      </w:r>
      <w:r>
        <w:rPr>
          <w:rFonts w:hint="eastAsia"/>
        </w:rPr>
        <w:t xml:space="preserve">55.2%。新闻多数改变的是现金流预期，而非折现率。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竞争者：Broadcom,</w:t>
      </w:r>
      <w:r>
        <w:t xml:space="preserve"> Marvell, Realtek, </w:t>
      </w:r>
      <w:r>
        <w:rPr>
          <w:rFonts w:hint="eastAsia"/>
        </w:rPr>
        <w:t xml:space="preserve">Credo｜博通、Marvell、瑞昱、Credo。客户：Cable/fiber</w:t>
      </w:r>
      <w:r>
        <w:t xml:space="preserve"> gateway OEMs, data-center optical module makers, storage </w:t>
      </w:r>
      <w:r>
        <w:rPr>
          <w:rFonts w:hint="eastAsia"/>
        </w:rPr>
        <w:t xml:space="preserve">OEMs｜网关厂、光模块厂、存储厂。若</w:t>
      </w:r>
      <w:r>
        <w:t xml:space="preserve"> MXL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看多会错，如果：Design</w:t>
      </w:r>
      <w:r>
        <w:t xml:space="preserve">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68.9%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29.9%；近几季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+18% / 2025-12 +6% / 2026-03 +26% / 2026-06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买方押：Keystone</w:t>
      </w:r>
      <w:r>
        <w:t xml:space="preserve"> volume ramp at a top module maker; broadband </w:t>
      </w:r>
      <w:r>
        <w:rPr>
          <w:rFonts w:hint="eastAsia"/>
        </w:rPr>
        <w:t xml:space="preserve">upcycle｜Keystone在头部模块厂放量；宽带复苏。卖方押：Design</w:t>
      </w:r>
      <w:r>
        <w:t xml:space="preserve"> wins don’t convert; legal overhang (Silicon Motion merger </w:t>
      </w:r>
      <w:r>
        <w:rPr>
          <w:rFonts w:hint="eastAsia"/>
        </w:rPr>
        <w:t xml:space="preserve">dispute)｜订单不转化；与慧荣并购纠纷诉讼。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2010 </w:t>
      </w:r>
      <w:r>
        <w:rPr>
          <w:rFonts w:hint="eastAsia"/>
        </w:rPr>
        <w:t xml:space="preserve">年以来最大的三次回撤：2021-12→2025-04</w:t>
      </w:r>
      <w:r>
        <w:t xml:space="preserve"> </w:t>
      </w:r>
      <w:r>
        <w:rPr>
          <w:rFonts w:hint="eastAsia"/>
        </w:rPr>
        <w:t xml:space="preserve">-88%；2010-03→2012-07</w:t>
      </w:r>
      <w:r>
        <w:t xml:space="preserve"> </w:t>
      </w:r>
      <w:r>
        <w:rPr>
          <w:rFonts w:hint="eastAsia"/>
        </w:rPr>
        <w:t xml:space="preserve">-78%；2017-05→2020-03</w:t>
      </w:r>
      <w:r>
        <w:t xml:space="preserve"> </w:t>
      </w:r>
      <w:r>
        <w:rPr>
          <w:rFonts w:hint="eastAsia"/>
        </w:rPr>
        <w:t xml:space="preserve">-75%；中位数</w:t>
      </w:r>
      <w:r>
        <w:t xml:space="preserve"> </w:t>
      </w:r>
      <w:r>
        <w:rPr>
          <w:rFonts w:hint="eastAsia"/>
        </w:rPr>
        <w:t xml:space="preserve">-78%。当前距高点</w:t>
      </w:r>
      <w:r>
        <w:t xml:space="preserve"> </w:t>
      </w:r>
      <w:r>
        <w:rPr>
          <w:rFonts w:hint="eastAsia"/>
        </w:rPr>
        <w:t xml:space="preserve">-30.5%。毛利率区间：54.0%–58.0%（本快照内）。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MaxLinear是小型复苏+期权标的：宽带周期复苏加上Keystone</w:t>
      </w:r>
      <w:r>
        <w:t xml:space="preserve"> </w:t>
      </w:r>
      <w:r>
        <w:rPr>
          <w:rFonts w:hint="eastAsia"/>
        </w:rPr>
        <w:t xml:space="preserve">PAM4光DSP与Panther存储加速器打入AI数据中心的可能性；利润率与执行风险高。（HYPOTHESIS）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$88.64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$22 </w:t>
      </w:r>
      <w:r>
        <w:rPr>
          <w:rFonts w:hint="eastAsia"/>
        </w:rPr>
        <w:t xml:space="preserve">297.5%，安全边际取决于假设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2021-12→2025-04 </w:t>
      </w:r>
      <w:r>
        <w:rPr>
          <w:rFonts w:hint="eastAsia"/>
        </w:rPr>
        <w:t xml:space="preserve">-88%；2010-03→2012-07</w:t>
      </w:r>
      <w:r>
        <w:t xml:space="preserve"> </w:t>
      </w:r>
      <w:r>
        <w:rPr>
          <w:rFonts w:hint="eastAsia"/>
        </w:rPr>
        <w:t xml:space="preserve">-78%；2017-05→2020-03</w:t>
      </w:r>
      <w:r>
        <w:t xml:space="preserve"> -75%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$88.64 vs Base </w:t>
            </w:r>
            <w:r>
              <w:rPr>
                <w:rFonts w:hint="eastAsia"/>
              </w:rPr>
              <w:t xml:space="preserve">价值</w:t>
            </w:r>
            <w:r>
              <w:t xml:space="preserve"> $22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68.9% vs </w:t>
            </w:r>
            <w:r>
              <w:rPr>
                <w:rFonts w:hint="eastAsia"/>
              </w:rPr>
              <w:t xml:space="preserve">一致预期</w:t>
            </w:r>
            <w:r>
              <w:t xml:space="preserve"> 29.9%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56.5% → 57.8%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+26% → +6%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+55.2%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-30.5%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68.9%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55.2%）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57.8%）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Infrastructure revenue, GM%, op margin, design </w:t>
            </w:r>
            <w:r>
              <w:rPr>
                <w:rFonts w:hint="eastAsia"/>
              </w:rPr>
              <w:t xml:space="preserve">wins｜基础设施收入、毛利率、营业利润率、设计订单</w:t>
            </w:r>
          </w:p>
        </w:tc>
        <w:tc>
          <w:tcPr/>
          <w:p>
            <w:pPr>
              <w:pStyle w:val="Compact"/>
            </w:pPr>
            <w:r>
              <w:t xml:space="preserve">Infrastructure revenue flat; continued operating </w:t>
            </w:r>
            <w:r>
              <w:rPr>
                <w:rFonts w:hint="eastAsia"/>
              </w:rPr>
              <w:t xml:space="preserve">losses｜基础设施收入持平；持续经营亏损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68.9%、共识</w:t>
      </w:r>
      <w:r>
        <w:t xml:space="preserve"> </w:t>
      </w:r>
      <w:r>
        <w:rPr>
          <w:rFonts w:hint="eastAsia"/>
        </w:rPr>
        <w:t xml:space="preserve">29.9%。如果公司下季’超预期’但只超共识不超隐含，股价可能怎样？为什么？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57.8%，区间</w:t>
      </w:r>
      <w:r>
        <w:t xml:space="preserve"> </w:t>
      </w:r>
      <w:r>
        <w:rPr>
          <w:rFonts w:hint="eastAsia"/>
        </w:rPr>
        <w:t xml:space="preserve">54.0%–58.0%。用’第一性原理’说明利润率下降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-78%，当前</w:t>
      </w:r>
      <w:r>
        <w:t xml:space="preserve"> </w:t>
      </w:r>
      <w:r>
        <w:rPr>
          <w:rFonts w:hint="eastAsia"/>
        </w:rPr>
        <w:t xml:space="preserve">-30.5%。为什么’已经跌了很多’不能单独作为买入理由？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3-财报后填写"/>
    <w:p>
      <w:pPr>
        <w:pStyle w:val="Heading2"/>
      </w:pPr>
      <w:r>
        <w:rPr>
          <w:rFonts w:hint="eastAsia"/>
        </w:rPr>
        <w:t xml:space="preserve">八、事后推理复盘（2026-10-23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MXL thinking-first edition. Price $88.64; -30.5% from 2026-06-30 high. Reverse DCF: price implies ~68.9% Y1 growth vs consensus 29.9%. Scenario values $8/$22/$41; WACC 13.2%. Base rates: largest drawdowns since 2010: 2021-12→2025-04 </w:t>
      </w:r>
      <w:r>
        <w:rPr>
          <w:rFonts w:hint="eastAsia"/>
        </w:rPr>
        <w:t xml:space="preserve">-88%；2010-03→2012-07</w:t>
      </w:r>
      <w:r>
        <w:t xml:space="preserve"> </w:t>
      </w:r>
      <w:r>
        <w:rPr>
          <w:rFonts w:hint="eastAsia"/>
        </w:rPr>
        <w:t xml:space="preserve">-78%；2017-05→2020-03</w:t>
      </w:r>
      <w:r>
        <w:t xml:space="preserve"> -75%. Evidence weighting 4:9 (bull:bear). Falsifiers: Infrastructure revenue flat; continued operating </w:t>
      </w:r>
      <w:r>
        <w:rPr>
          <w:rFonts w:hint="eastAsia"/>
        </w:rPr>
        <w:t xml:space="preserve">losses｜基础设施收入持平；持续经营亏损.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2026-10-14T00:04:31Z</dcterms:created>
  <dcterms:modified xsi:type="dcterms:W3CDTF">2026-10-14T00:04:31Z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