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91bb3502d9485e01f15a0991589eb7788ac0e6"/>
    <w:p>
      <w:pPr>
        <w:pStyle w:val="Heading1"/>
      </w:pPr>
      <w:r>
        <w:t xml:space="preserve">TSM Taiwan Semiconductor Manufacturing Company Limited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$430.00｜市值</w:t>
      </w:r>
      <w:r>
        <w:t xml:space="preserve"> 2,230.2 bn </w:t>
      </w:r>
      <w:r>
        <w:rPr>
          <w:rFonts w:hint="eastAsia"/>
        </w:rPr>
        <w:t xml:space="preserve">USD｜财报货币</w:t>
      </w:r>
      <w:r>
        <w:t xml:space="preserve"> </w:t>
      </w:r>
      <w:r>
        <w:rPr>
          <w:rFonts w:hint="eastAsia"/>
        </w:rPr>
        <w:t xml:space="preserve">TWD｜非投资建议。事实=CONFIRMED/DATA；推断=INFERENCE；假设=ASSUMPTION/HYPOTHESIS。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台积电是AI芯片无可替代的制造瓶颈，拥有定价权；主要风险是地缘政治与海外厂毛利稀释。财报以新台币计。</w:t>
      </w:r>
    </w:p>
    <w:p>
      <w:pPr>
        <w:pStyle w:val="Compact"/>
        <w:numPr>
          <w:ilvl w:val="0"/>
          <w:numId w:val="1001"/>
        </w:numPr>
      </w:pPr>
      <w:r>
        <w:rPr>
          <w:rFonts w:hint="eastAsia"/>
          <w:b/>
          <w:bCs/>
        </w:rPr>
        <w:t xml:space="preserve">多头驱动</w:t>
      </w:r>
      <w:r>
        <w:t xml:space="preserve">: N2 ramp + price increases; CoWoS doubling; AI accelerators &gt;30% </w:t>
      </w:r>
      <w:r>
        <w:rPr>
          <w:rFonts w:hint="eastAsia"/>
        </w:rPr>
        <w:t xml:space="preserve">revenue｜N2爬坡+涨价；CoWoS倍增；AI加速器占比超30%</w:t>
      </w:r>
    </w:p>
    <w:p>
      <w:pPr>
        <w:pStyle w:val="Compact"/>
        <w:numPr>
          <w:ilvl w:val="0"/>
          <w:numId w:val="1001"/>
        </w:numPr>
      </w:pPr>
      <w:r>
        <w:rPr>
          <w:rFonts w:hint="eastAsia"/>
          <w:b/>
          <w:bCs/>
        </w:rPr>
        <w:t xml:space="preserve">空头驱动</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1"/>
        </w:numPr>
      </w:pPr>
      <w:r>
        <w:rPr>
          <w:rFonts w:hint="eastAsia"/>
          <w:b/>
          <w:bCs/>
        </w:rPr>
        <w:t xml:space="preserve">证伪条件</w:t>
      </w:r>
      <w:r>
        <w:rPr>
          <w:b/>
          <w:bCs/>
        </w:rPr>
        <w:t xml:space="preserve"> Falsifiers</w:t>
      </w:r>
      <w:r>
        <w:t xml:space="preserve">: GM falls below long-term target band; monthly revenue y/y decelerates sharply; capex </w:t>
      </w:r>
      <w:r>
        <w:rPr>
          <w:rFonts w:hint="eastAsia"/>
        </w:rPr>
        <w:t xml:space="preserve">cut｜毛利率跌破长期目标区间；月营收同比骤降；Capex下修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Foundry / Advanced packaging </w:t>
      </w:r>
      <w:r>
        <w:rPr>
          <w:rFonts w:hint="eastAsia"/>
        </w:rPr>
        <w:t xml:space="preserve">晶圆代工/先进封装</w:t>
      </w:r>
    </w:p>
    <w:p>
      <w:pPr>
        <w:pStyle w:val="Compact"/>
        <w:numPr>
          <w:ilvl w:val="0"/>
          <w:numId w:val="1002"/>
        </w:numPr>
      </w:pPr>
      <w:r>
        <w:rPr>
          <w:rFonts w:hint="eastAsia"/>
        </w:rPr>
        <w:t xml:space="preserve">业务分部</w:t>
      </w:r>
      <w:r>
        <w:t xml:space="preserve"> Segments: HPC/AI </w:t>
      </w:r>
      <w:r>
        <w:rPr>
          <w:rFonts w:hint="eastAsia"/>
        </w:rPr>
        <w:t xml:space="preserve">高性能计算；Smartphone</w:t>
      </w:r>
      <w:r>
        <w:t xml:space="preserve"> </w:t>
      </w:r>
      <w:r>
        <w:rPr>
          <w:rFonts w:hint="eastAsia"/>
        </w:rPr>
        <w:t xml:space="preserve">智能手机；IoT/Auto/DCE</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02"/>
        </w:numPr>
      </w:pPr>
      <w:r>
        <w:rPr>
          <w:rFonts w:hint="eastAsia"/>
        </w:rPr>
        <w:t xml:space="preserve">主要客户:</w:t>
      </w:r>
      <w:r>
        <w:t xml:space="preserve"> NVDA, Apple, AMD, Broadcom, Qualcomm, MediaTek, Marvell, hyperscaler </w:t>
      </w:r>
      <w:r>
        <w:rPr>
          <w:rFonts w:hint="eastAsia"/>
        </w:rPr>
        <w:t xml:space="preserve">ASICs｜NVDA、苹果、AMD、博通、高通、联发科、Marvell、云厂ASIC</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 (EUV), AMAT/LRCX/TEL/KLAC, Shin-Etsu/SUMCO (wafers), </w:t>
      </w:r>
      <w:r>
        <w:rPr>
          <w:rFonts w:hint="eastAsia"/>
        </w:rPr>
        <w:t xml:space="preserve">chemicals｜ASML、设备商、硅片、化学品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Foundry, Intel Foundry (18A/14A), </w:t>
      </w:r>
      <w:r>
        <w:rPr>
          <w:rFonts w:hint="eastAsia"/>
        </w:rPr>
        <w:t xml:space="preserve">SMIC｜三星代工、英特尔代工、中芯国际</w:t>
      </w:r>
    </w:p>
    <w:p>
      <w:pPr>
        <w:pStyle w:val="Compact"/>
        <w:numPr>
          <w:ilvl w:val="0"/>
          <w:numId w:val="1003"/>
        </w:numPr>
      </w:pPr>
      <w:r>
        <w:rPr>
          <w:rFonts w:hint="eastAsia"/>
        </w:rPr>
        <w:t xml:space="preserve">瓶颈/监管:</w:t>
      </w:r>
      <w:r>
        <w:t xml:space="preserve">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03"/>
        </w:numPr>
      </w:pPr>
      <w:r>
        <w:rPr>
          <w:rFonts w:hint="eastAsia"/>
        </w:rPr>
        <w:t xml:space="preserve">关键KPI:</w:t>
      </w:r>
      <w:r>
        <w:t xml:space="preserve"> Monthly revenue, GM%, HPC mix, N3/N2 mix, capex, CoWoS </w:t>
      </w:r>
      <w:r>
        <w:rPr>
          <w:rFonts w:hint="eastAsia"/>
        </w:rPr>
        <w:t xml:space="preserve">capacity｜月营收、毛利率、HPC占比、先进制程占比、Capex、CoWoS产能</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twd"/>
    <w:p>
      <w:pPr>
        <w:pStyle w:val="Heading2"/>
      </w:pPr>
      <w:r>
        <w:t xml:space="preserve">4. </w:t>
      </w:r>
      <w:r>
        <w:rPr>
          <w:rFonts w:hint="eastAsia"/>
        </w:rPr>
        <w:t xml:space="preserve">历史财务与现金流</w:t>
      </w:r>
      <w:r>
        <w:t xml:space="preserve"> (CONFIRMED, </w:t>
      </w:r>
      <w:r>
        <w:rPr>
          <w:rFonts w:hint="eastAsia"/>
        </w:rPr>
        <w:t xml:space="preserve">季度,</w:t>
      </w:r>
      <w:r>
        <w:t xml:space="preserve">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3,518.0 bn </w:t>
      </w:r>
      <w:r>
        <w:rPr>
          <w:rFonts w:hint="eastAsia"/>
        </w:rPr>
        <w:t xml:space="preserve">TWD；总负债</w:t>
      </w:r>
      <w:r>
        <w:t xml:space="preserve"> 1,068.6 bn </w:t>
      </w:r>
      <w:r>
        <w:rPr>
          <w:rFonts w:hint="eastAsia"/>
        </w:rPr>
        <w:t xml:space="preserve">TWD；净现金</w:t>
      </w:r>
      <w:r>
        <w:t xml:space="preserve"> 2,449.5 bn TWD。TTM FCF 1,124.7 bn </w:t>
      </w:r>
      <w:r>
        <w:rPr>
          <w:rFonts w:hint="eastAsia"/>
        </w:rPr>
        <w:t xml:space="preserve">TWD（FCF率</w:t>
      </w:r>
      <w:r>
        <w:t xml:space="preserve"> </w:t>
      </w:r>
      <w:r>
        <w:rPr>
          <w:rFonts w:hint="eastAsia"/>
        </w:rPr>
        <w:t xml:space="preserve">25.3%）。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2026-10-15</w:t>
      </w:r>
      <w:r>
        <w:rPr>
          <w:rFonts w:hint="eastAsia"/>
        </w:rPr>
        <w:t xml:space="preserve">；本季EPS一致预期</w:t>
      </w:r>
      <w:r>
        <w:t xml:space="preserve"> </w:t>
      </w:r>
      <w:r>
        <w:rPr>
          <w:rFonts w:hint="eastAsia"/>
        </w:rPr>
        <w:t xml:space="preserve">4.52449（9位分析师）；收入一致预期</w:t>
      </w:r>
      <w:r>
        <w:t xml:space="preserve"> 1,460.4 bn TWD。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$134.02</w:t>
            </w:r>
          </w:p>
        </w:tc>
        <w:tc>
          <w:tcPr/>
          <w:p>
            <w:pPr>
              <w:pStyle w:val="Compact"/>
            </w:pPr>
            <w:r>
              <w:t xml:space="preserve">-68.8%</w:t>
            </w:r>
          </w:p>
        </w:tc>
      </w:tr>
      <w:tr>
        <w:tc>
          <w:tcPr/>
          <w:p>
            <w:pPr>
              <w:pStyle w:val="Compact"/>
            </w:pPr>
            <w:r>
              <w:t xml:space="preserve">2Q</w:t>
            </w:r>
          </w:p>
        </w:tc>
        <w:tc>
          <w:tcPr/>
          <w:p>
            <w:pPr>
              <w:pStyle w:val="Compact"/>
            </w:pPr>
            <w:r>
              <w:t xml:space="preserve">Base</w:t>
            </w:r>
          </w:p>
        </w:tc>
        <w:tc>
          <w:tcPr/>
          <w:p>
            <w:pPr>
              <w:pStyle w:val="Compact"/>
            </w:pPr>
            <w:r>
              <w:t xml:space="preserve">$280.71</w:t>
            </w:r>
          </w:p>
        </w:tc>
        <w:tc>
          <w:tcPr/>
          <w:p>
            <w:pPr>
              <w:pStyle w:val="Compact"/>
            </w:pPr>
            <w:r>
              <w:t xml:space="preserve">-34.7%</w:t>
            </w:r>
          </w:p>
        </w:tc>
      </w:tr>
      <w:tr>
        <w:tc>
          <w:tcPr/>
          <w:p>
            <w:pPr>
              <w:pStyle w:val="Compact"/>
            </w:pPr>
            <w:r>
              <w:t xml:space="preserve">2Q</w:t>
            </w:r>
          </w:p>
        </w:tc>
        <w:tc>
          <w:tcPr/>
          <w:p>
            <w:pPr>
              <w:pStyle w:val="Compact"/>
            </w:pPr>
            <w:r>
              <w:t xml:space="preserve">Bull</w:t>
            </w:r>
          </w:p>
        </w:tc>
        <w:tc>
          <w:tcPr/>
          <w:p>
            <w:pPr>
              <w:pStyle w:val="Compact"/>
            </w:pPr>
            <w:r>
              <w:t xml:space="preserve">$454.88</w:t>
            </w:r>
          </w:p>
        </w:tc>
        <w:tc>
          <w:tcPr/>
          <w:p>
            <w:pPr>
              <w:pStyle w:val="Compact"/>
            </w:pPr>
            <w:r>
              <w:t xml:space="preserve">5.8%</w:t>
            </w:r>
          </w:p>
        </w:tc>
      </w:tr>
      <w:tr>
        <w:tc>
          <w:tcPr/>
          <w:p>
            <w:pPr>
              <w:pStyle w:val="Compact"/>
            </w:pPr>
            <w:r>
              <w:t xml:space="preserve">4Q</w:t>
            </w:r>
          </w:p>
        </w:tc>
        <w:tc>
          <w:tcPr/>
          <w:p>
            <w:pPr>
              <w:pStyle w:val="Compact"/>
            </w:pPr>
            <w:r>
              <w:t xml:space="preserve">Bear</w:t>
            </w:r>
          </w:p>
        </w:tc>
        <w:tc>
          <w:tcPr/>
          <w:p>
            <w:pPr>
              <w:pStyle w:val="Compact"/>
            </w:pPr>
            <w:r>
              <w:t xml:space="preserve">$135.51</w:t>
            </w:r>
          </w:p>
        </w:tc>
        <w:tc>
          <w:tcPr/>
          <w:p>
            <w:pPr>
              <w:pStyle w:val="Compact"/>
            </w:pPr>
            <w:r>
              <w:t xml:space="preserve">-68.5%</w:t>
            </w:r>
          </w:p>
        </w:tc>
      </w:tr>
      <w:tr>
        <w:tc>
          <w:tcPr/>
          <w:p>
            <w:pPr>
              <w:pStyle w:val="Compact"/>
            </w:pPr>
            <w:r>
              <w:t xml:space="preserve">4Q</w:t>
            </w:r>
          </w:p>
        </w:tc>
        <w:tc>
          <w:tcPr/>
          <w:p>
            <w:pPr>
              <w:pStyle w:val="Compact"/>
            </w:pPr>
            <w:r>
              <w:t xml:space="preserve">Base</w:t>
            </w:r>
          </w:p>
        </w:tc>
        <w:tc>
          <w:tcPr/>
          <w:p>
            <w:pPr>
              <w:pStyle w:val="Compact"/>
            </w:pPr>
            <w:r>
              <w:t xml:space="preserve">$313.00</w:t>
            </w:r>
          </w:p>
        </w:tc>
        <w:tc>
          <w:tcPr/>
          <w:p>
            <w:pPr>
              <w:pStyle w:val="Compact"/>
            </w:pPr>
            <w:r>
              <w:t xml:space="preserve">-27.2%</w:t>
            </w:r>
          </w:p>
        </w:tc>
      </w:tr>
      <w:tr>
        <w:tc>
          <w:tcPr/>
          <w:p>
            <w:pPr>
              <w:pStyle w:val="Compact"/>
            </w:pPr>
            <w:r>
              <w:t xml:space="preserve">4Q</w:t>
            </w:r>
          </w:p>
        </w:tc>
        <w:tc>
          <w:tcPr/>
          <w:p>
            <w:pPr>
              <w:pStyle w:val="Compact"/>
            </w:pPr>
            <w:r>
              <w:t xml:space="preserve">Bull</w:t>
            </w:r>
          </w:p>
        </w:tc>
        <w:tc>
          <w:tcPr/>
          <w:p>
            <w:pPr>
              <w:pStyle w:val="Compact"/>
            </w:pPr>
            <w:r>
              <w:t xml:space="preserve">$536.88</w:t>
            </w:r>
          </w:p>
        </w:tc>
        <w:tc>
          <w:tcPr/>
          <w:p>
            <w:pPr>
              <w:pStyle w:val="Compact"/>
            </w:pPr>
            <w:r>
              <w:t xml:space="preserve">24.9%</w:t>
            </w:r>
          </w:p>
        </w:tc>
      </w:tr>
      <w:tr>
        <w:tc>
          <w:tcPr/>
          <w:p>
            <w:pPr>
              <w:pStyle w:val="Compact"/>
            </w:pPr>
            <w:r>
              <w:t xml:space="preserve">6Q</w:t>
            </w:r>
          </w:p>
        </w:tc>
        <w:tc>
          <w:tcPr/>
          <w:p>
            <w:pPr>
              <w:pStyle w:val="Compact"/>
            </w:pPr>
            <w:r>
              <w:t xml:space="preserve">Bear</w:t>
            </w:r>
          </w:p>
        </w:tc>
        <w:tc>
          <w:tcPr/>
          <w:p>
            <w:pPr>
              <w:pStyle w:val="Compact"/>
            </w:pPr>
            <w:r>
              <w:t xml:space="preserve">$137.08</w:t>
            </w:r>
          </w:p>
        </w:tc>
        <w:tc>
          <w:tcPr/>
          <w:p>
            <w:pPr>
              <w:pStyle w:val="Compact"/>
            </w:pPr>
            <w:r>
              <w:t xml:space="preserve">-68.1%</w:t>
            </w:r>
          </w:p>
        </w:tc>
      </w:tr>
      <w:tr>
        <w:tc>
          <w:tcPr/>
          <w:p>
            <w:pPr>
              <w:pStyle w:val="Compact"/>
            </w:pPr>
            <w:r>
              <w:t xml:space="preserve">6Q</w:t>
            </w:r>
          </w:p>
        </w:tc>
        <w:tc>
          <w:tcPr/>
          <w:p>
            <w:pPr>
              <w:pStyle w:val="Compact"/>
            </w:pPr>
            <w:r>
              <w:t xml:space="preserve">Base</w:t>
            </w:r>
          </w:p>
        </w:tc>
        <w:tc>
          <w:tcPr/>
          <w:p>
            <w:pPr>
              <w:pStyle w:val="Compact"/>
            </w:pPr>
            <w:r>
              <w:t xml:space="preserve">$349.33</w:t>
            </w:r>
          </w:p>
        </w:tc>
        <w:tc>
          <w:tcPr/>
          <w:p>
            <w:pPr>
              <w:pStyle w:val="Compact"/>
            </w:pPr>
            <w:r>
              <w:t xml:space="preserve">-18.8%</w:t>
            </w:r>
          </w:p>
        </w:tc>
      </w:tr>
      <w:tr>
        <w:tc>
          <w:tcPr/>
          <w:p>
            <w:pPr>
              <w:pStyle w:val="Compact"/>
            </w:pPr>
            <w:r>
              <w:t xml:space="preserve">6Q</w:t>
            </w:r>
          </w:p>
        </w:tc>
        <w:tc>
          <w:tcPr/>
          <w:p>
            <w:pPr>
              <w:pStyle w:val="Compact"/>
            </w:pPr>
            <w:r>
              <w:t xml:space="preserve">Bull</w:t>
            </w:r>
          </w:p>
        </w:tc>
        <w:tc>
          <w:tcPr/>
          <w:p>
            <w:pPr>
              <w:pStyle w:val="Compact"/>
            </w:pPr>
            <w:r>
              <w:t xml:space="preserve">$633.80</w:t>
            </w:r>
          </w:p>
        </w:tc>
        <w:tc>
          <w:tcPr/>
          <w:p>
            <w:pPr>
              <w:pStyle w:val="Compact"/>
            </w:pPr>
            <w:r>
              <w:t xml:space="preserve">47.4%</w:t>
            </w:r>
          </w:p>
        </w:tc>
      </w:tr>
      <w:tr>
        <w:tc>
          <w:tcPr/>
          <w:p>
            <w:pPr>
              <w:pStyle w:val="Compact"/>
            </w:pPr>
            <w:r>
              <w:t xml:space="preserve">8Q</w:t>
            </w:r>
          </w:p>
        </w:tc>
        <w:tc>
          <w:tcPr/>
          <w:p>
            <w:pPr>
              <w:pStyle w:val="Compact"/>
            </w:pPr>
            <w:r>
              <w:t xml:space="preserve">Bear</w:t>
            </w:r>
          </w:p>
        </w:tc>
        <w:tc>
          <w:tcPr/>
          <w:p>
            <w:pPr>
              <w:pStyle w:val="Compact"/>
            </w:pPr>
            <w:r>
              <w:t xml:space="preserve">$138.74</w:t>
            </w:r>
          </w:p>
        </w:tc>
        <w:tc>
          <w:tcPr/>
          <w:p>
            <w:pPr>
              <w:pStyle w:val="Compact"/>
            </w:pPr>
            <w:r>
              <w:t xml:space="preserve">-67.7%</w:t>
            </w:r>
          </w:p>
        </w:tc>
      </w:tr>
      <w:tr>
        <w:tc>
          <w:tcPr/>
          <w:p>
            <w:pPr>
              <w:pStyle w:val="Compact"/>
            </w:pPr>
            <w:r>
              <w:t xml:space="preserve">8Q</w:t>
            </w:r>
          </w:p>
        </w:tc>
        <w:tc>
          <w:tcPr/>
          <w:p>
            <w:pPr>
              <w:pStyle w:val="Compact"/>
            </w:pPr>
            <w:r>
              <w:t xml:space="preserve">Base</w:t>
            </w:r>
          </w:p>
        </w:tc>
        <w:tc>
          <w:tcPr/>
          <w:p>
            <w:pPr>
              <w:pStyle w:val="Compact"/>
            </w:pPr>
            <w:r>
              <w:t xml:space="preserve">$390.15</w:t>
            </w:r>
          </w:p>
        </w:tc>
        <w:tc>
          <w:tcPr/>
          <w:p>
            <w:pPr>
              <w:pStyle w:val="Compact"/>
            </w:pPr>
            <w:r>
              <w:t xml:space="preserve">-9.3%</w:t>
            </w:r>
          </w:p>
        </w:tc>
      </w:tr>
      <w:tr>
        <w:tc>
          <w:tcPr/>
          <w:p>
            <w:pPr>
              <w:pStyle w:val="Compact"/>
            </w:pPr>
            <w:r>
              <w:t xml:space="preserve">8Q</w:t>
            </w:r>
          </w:p>
        </w:tc>
        <w:tc>
          <w:tcPr/>
          <w:p>
            <w:pPr>
              <w:pStyle w:val="Compact"/>
            </w:pPr>
            <w:r>
              <w:t xml:space="preserve">Bull</w:t>
            </w:r>
          </w:p>
        </w:tc>
        <w:tc>
          <w:tcPr/>
          <w:p>
            <w:pPr>
              <w:pStyle w:val="Compact"/>
            </w:pPr>
            <w:r>
              <w:t xml:space="preserve">$748.25</w:t>
            </w:r>
          </w:p>
        </w:tc>
        <w:tc>
          <w:tcPr/>
          <w:p>
            <w:pPr>
              <w:pStyle w:val="Compact"/>
            </w:pPr>
            <w:r>
              <w:t xml:space="preserve">74.0%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36.9x</w:t>
            </w:r>
          </w:p>
        </w:tc>
      </w:tr>
      <w:tr>
        <w:tc>
          <w:tcPr/>
          <w:p>
            <w:pPr>
              <w:pStyle w:val="Compact"/>
            </w:pPr>
            <w:r>
              <w:t xml:space="preserve">4Q</w:t>
            </w:r>
          </w:p>
        </w:tc>
        <w:tc>
          <w:tcPr/>
          <w:p>
            <w:pPr>
              <w:pStyle w:val="Compact"/>
            </w:pPr>
            <w:r>
              <w:t xml:space="preserve">31.1x</w:t>
            </w:r>
          </w:p>
        </w:tc>
      </w:tr>
      <w:tr>
        <w:tc>
          <w:tcPr/>
          <w:p>
            <w:pPr>
              <w:pStyle w:val="Compact"/>
            </w:pPr>
            <w:r>
              <w:t xml:space="preserve">6Q</w:t>
            </w:r>
          </w:p>
        </w:tc>
        <w:tc>
          <w:tcPr/>
          <w:p>
            <w:pPr>
              <w:pStyle w:val="Compact"/>
            </w:pPr>
            <w:r>
              <w:t xml:space="preserve">26.2x</w:t>
            </w:r>
          </w:p>
        </w:tc>
      </w:tr>
      <w:tr>
        <w:tc>
          <w:tcPr/>
          <w:p>
            <w:pPr>
              <w:pStyle w:val="Compact"/>
            </w:pPr>
            <w:r>
              <w:t xml:space="preserve">8Q</w:t>
            </w:r>
          </w:p>
        </w:tc>
        <w:tc>
          <w:tcPr/>
          <w:p>
            <w:pPr>
              <w:pStyle w:val="Compact"/>
            </w:pPr>
            <w:r>
              <w:t xml:space="preserve">22.1x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$134.34</w:t>
            </w:r>
          </w:p>
        </w:tc>
        <w:tc>
          <w:tcPr/>
          <w:p>
            <w:pPr>
              <w:pStyle w:val="Compact"/>
            </w:pPr>
            <w:r>
              <w:t xml:space="preserve">-68.8%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$350.14</w:t>
            </w:r>
          </w:p>
        </w:tc>
        <w:tc>
          <w:tcPr/>
          <w:p>
            <w:pPr>
              <w:pStyle w:val="Compact"/>
            </w:pPr>
            <w:r>
              <w:t xml:space="preserve">-18.6%</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$655.37</w:t>
            </w:r>
          </w:p>
        </w:tc>
        <w:tc>
          <w:tcPr/>
          <w:p>
            <w:pPr>
              <w:pStyle w:val="Compact"/>
            </w:pPr>
            <w:r>
              <w:t xml:space="preserve">52.4%</w:t>
            </w:r>
          </w:p>
        </w:tc>
      </w:tr>
    </w:tbl>
    <w:p>
      <w:pPr>
        <w:pStyle w:val="BodyText"/>
      </w:pPr>
      <w:r>
        <w:rPr>
          <w:rFonts w:hint="eastAsia"/>
        </w:rPr>
        <w:t xml:space="preserve">概率加权价值</w:t>
      </w:r>
      <w:r>
        <w:t xml:space="preserve"> </w:t>
      </w:r>
      <w:r>
        <w:rPr>
          <w:b/>
          <w:bCs/>
        </w:rPr>
        <w:t xml:space="preserve">$372.50</w:t>
      </w:r>
      <w:r>
        <w:rPr>
          <w:rFonts w:hint="eastAsia"/>
        </w:rPr>
        <w:t xml:space="preserve">（相对现价</w:t>
      </w:r>
      <w:r>
        <w:t xml:space="preserve"> </w:t>
      </w:r>
      <w:r>
        <w:rPr>
          <w:rFonts w:hint="eastAsia"/>
        </w:rPr>
        <w:t xml:space="preserve">-13.4%）。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55,999.5 bn </w:t>
      </w:r>
      <w:r>
        <w:rPr>
          <w:rFonts w:hint="eastAsia"/>
        </w:rPr>
        <w:t xml:space="preserve">TWD；终值占比</w:t>
      </w:r>
      <w:r>
        <w:t xml:space="preserve"> 56.3%。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41.9%</w:t>
      </w:r>
      <w:r>
        <w:rPr>
          <w:rFonts w:hint="eastAsia"/>
        </w:rPr>
        <w:t xml:space="preserve">；一致预期FY+1增速</w:t>
      </w:r>
      <w:r>
        <w:t xml:space="preserve"> 35.9%。</w:t>
      </w:r>
    </w:p>
    <w:p>
      <w:pPr>
        <w:numPr>
          <w:ilvl w:val="0"/>
          <w:numId w:val="1005"/>
        </w:numPr>
      </w:pPr>
      <w:r>
        <w:t xml:space="preserve">WACC (CAPM) = rf 5.2% + β 1.24 × ERP 5.0% = 11.4%。</w:t>
      </w:r>
    </w:p>
    <w:p>
      <w:pPr>
        <w:numPr>
          <w:ilvl w:val="0"/>
          <w:numId w:val="1005"/>
        </w:numPr>
      </w:pPr>
      <w:r>
        <w:t xml:space="preserve">SOTP segments </w:t>
      </w:r>
      <w:r>
        <w:rPr>
          <w:rFonts w:hint="eastAsia"/>
        </w:rPr>
        <w:t xml:space="preserve">分部:</w:t>
      </w:r>
      <w:r>
        <w:t xml:space="preserve">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TSM | 2,230.2 bn USD | 3.5x | 19.3x | 36.0% | 64.2% | 1.6% |</w:t>
      </w:r>
      <w:r>
        <w:t xml:space="preserve"> </w:t>
      </w:r>
      <w:r>
        <w:t xml:space="preserve">| INTC | 518.7 bn USD | 9.3x | 46.9x | 25.4% | 38.9% | 0.9% |</w:t>
      </w:r>
      <w:r>
        <w:t xml:space="preserve"> </w:t>
      </w:r>
      <w:r>
        <w:t xml:space="preserve">| 005930.KS | 1,510,766.0 bn USD | 2.8x | 3.2x | 130.0% | 57.5% | 4.6% |</w:t>
      </w:r>
      <w:r>
        <w:t xml:space="preserve"> </w:t>
      </w:r>
      <w:r>
        <w:t xml:space="preserve">| UMC | 53.7 bn USD | -0.1x | 24.4x | 17.0% | 30.6% | 68.7% |</w:t>
      </w:r>
      <w:r>
        <w:t xml:space="preserve"> </w:t>
      </w:r>
      <w:r>
        <w:t xml:space="preserve">| GFS | 27.3 bn USD | 3.8x | 18.6x | 5.8% | 27.1% | 2.8%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Geopolitical shock, US tariffs on chips, Intel/Samsung regain </w:t>
      </w:r>
      <w:r>
        <w:rPr>
          <w:rFonts w:hint="eastAsia"/>
        </w:rPr>
        <w:t xml:space="preserve">share｜地缘冲击、美国芯片关税、英特尔/三星夺回份额</w:t>
      </w:r>
    </w:p>
    <w:p>
      <w:pPr>
        <w:pStyle w:val="Compact"/>
        <w:numPr>
          <w:ilvl w:val="0"/>
          <w:numId w:val="1006"/>
        </w:numPr>
      </w:pPr>
      <w:r>
        <w:rPr>
          <w:rFonts w:hint="eastAsia"/>
        </w:rPr>
        <w:t xml:space="preserve">证伪指标:</w:t>
      </w:r>
      <w:r>
        <w:t xml:space="preserve"> GM falls below long-term target band; monthly revenue y/y decelerates sharply; capex </w:t>
      </w:r>
      <w:r>
        <w:rPr>
          <w:rFonts w:hint="eastAsia"/>
        </w:rPr>
        <w:t xml:space="preserve">cut｜毛利率跌破长期目标区间；月营收同比骤降；Capex下修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430</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2.23e+12</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3.518e+12</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1.069e+12</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4.44e+12</w:t>
            </w:r>
          </w:p>
        </w:tc>
        <w:tc>
          <w:tcPr/>
          <w:p>
            <w:pPr>
              <w:pStyle w:val="Compact"/>
            </w:pPr>
            <w:r>
              <w:t xml:space="preserve">Yahoo info.totalRevenue (TTM, TWD) 2026-10-15T07:57</w:t>
            </w:r>
          </w:p>
        </w:tc>
      </w:tr>
      <w:tr>
        <w:tc>
          <w:tcPr/>
          <w:p>
            <w:pPr>
              <w:pStyle w:val="Compact"/>
            </w:pPr>
            <w:r>
              <w:t xml:space="preserve">FCF TTM </w:t>
            </w:r>
            <w:r>
              <w:rPr>
                <w:rFonts w:hint="eastAsia"/>
              </w:rPr>
              <w:t xml:space="preserve">自由现金流</w:t>
            </w:r>
          </w:p>
        </w:tc>
        <w:tc>
          <w:tcPr/>
          <w:p>
            <w:pPr>
              <w:pStyle w:val="Compact"/>
            </w:pPr>
            <w:r>
              <w:t xml:space="preserve">1.125e+12</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(TWD)</w:t>
            </w:r>
          </w:p>
        </w:tc>
      </w:tr>
      <w:tr>
        <w:tc>
          <w:tcPr/>
          <w:p>
            <w:pPr>
              <w:pStyle w:val="Compact"/>
            </w:pPr>
            <w:r>
              <w:t xml:space="preserve">Beta</w:t>
            </w:r>
          </w:p>
        </w:tc>
        <w:tc>
          <w:tcPr/>
          <w:p>
            <w:pPr>
              <w:pStyle w:val="Compact"/>
            </w:pPr>
            <w:r>
              <w:t xml:space="preserve">1.239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TWD</w:t>
            </w:r>
          </w:p>
        </w:tc>
        <w:tc>
          <w:tcPr/>
          <w:p>
            <w:pPr>
              <w:pStyle w:val="Compact"/>
            </w:pPr>
            <w:r>
              <w:t xml:space="preserve">0.03107</w:t>
            </w:r>
          </w:p>
        </w:tc>
        <w:tc>
          <w:tcPr/>
          <w:p>
            <w:pPr>
              <w:pStyle w:val="Compact"/>
            </w:pPr>
            <w:r>
              <w:t xml:space="preserve">Yahoo FX quote</w:t>
            </w:r>
          </w:p>
        </w:tc>
      </w:tr>
      <w:tr>
        <w:tc>
          <w:tcPr/>
          <w:p>
            <w:pPr>
              <w:pStyle w:val="Compact"/>
            </w:pPr>
            <w:r>
              <w:t xml:space="preserve">Consensus rev growth FY0</w:t>
            </w:r>
          </w:p>
        </w:tc>
        <w:tc>
          <w:tcPr/>
          <w:p>
            <w:pPr>
              <w:pStyle w:val="Compact"/>
            </w:pPr>
            <w:r>
              <w:t xml:space="preserve">0.4351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1.24</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0.2533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TSM_model_v20261015-0757.xlsx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2026-10-15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cf8a84d71801754dd3d3decdd28c0c199966fa"/>
    <w:p>
      <w:pPr>
        <w:pStyle w:val="Heading1"/>
      </w:pPr>
      <w:r>
        <w:t xml:space="preserve">TSM Taiwan Semiconductor Manufacturing Company Limited — Equity Deep Dive (Professional English) v20261015-0757</w:t>
      </w:r>
    </w:p>
    <w:p>
      <w:pPr>
        <w:pStyle w:val="BlockText"/>
      </w:pPr>
      <w:r>
        <w:t xml:space="preserve">Data as of 2026-10-15 07:57 SGT | Price $430.00 | Mkt cap 2,230.2 bn USD | Reporting currency TWD | Not investment advice.</w:t>
      </w:r>
    </w:p>
    <w:bookmarkStart w:id="39" w:name="investment-thesis-hypothesis"/>
    <w:p>
      <w:pPr>
        <w:pStyle w:val="Heading2"/>
      </w:pPr>
      <w:r>
        <w:t xml:space="preserve">1. Investment thesis (HYPOTHESIS)</w:t>
      </w:r>
    </w:p>
    <w:p>
      <w:pPr>
        <w:pStyle w:val="FirstParagraph"/>
      </w:pPr>
      <w:r>
        <w:t xml:space="preserve">TSMC is the irreplaceable manufacturing bottleneck for AI chips with pricing power; key risks are geopolitics and overseas-fab margin dilution. Financials are reported in TWD.</w:t>
      </w:r>
    </w:p>
    <w:p>
      <w:pPr>
        <w:pStyle w:val="Compact"/>
        <w:numPr>
          <w:ilvl w:val="0"/>
          <w:numId w:val="1009"/>
        </w:numPr>
      </w:pPr>
      <w:r>
        <w:rPr>
          <w:b/>
          <w:bCs/>
        </w:rPr>
        <w:t xml:space="preserve">Bull drivers</w:t>
      </w:r>
      <w:r>
        <w:t xml:space="preserve">: N2 ramp + price increases; CoWoS doubling; AI accelerators &gt;30% </w:t>
      </w:r>
      <w:r>
        <w:rPr>
          <w:rFonts w:hint="eastAsia"/>
        </w:rPr>
        <w:t xml:space="preserve">revenue｜N2爬坡+涨价；CoWoS倍增；AI加速器占比超30%</w:t>
      </w:r>
    </w:p>
    <w:p>
      <w:pPr>
        <w:pStyle w:val="Compact"/>
        <w:numPr>
          <w:ilvl w:val="0"/>
          <w:numId w:val="1009"/>
        </w:numPr>
      </w:pPr>
      <w:r>
        <w:rPr>
          <w:b/>
          <w:bCs/>
        </w:rPr>
        <w:t xml:space="preserve">Bear drivers</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9"/>
        </w:numPr>
      </w:pPr>
      <w:r>
        <w:rPr>
          <w:b/>
          <w:bCs/>
        </w:rPr>
        <w:t xml:space="preserve">Falsifiers</w:t>
      </w:r>
      <w:r>
        <w:t xml:space="preserve">: GM falls below long-term target band; monthly revenue y/y decelerates sharply; capex </w:t>
      </w:r>
      <w:r>
        <w:rPr>
          <w:rFonts w:hint="eastAsia"/>
        </w:rPr>
        <w:t xml:space="preserve">cut｜毛利率跌破长期目标区间；月营收同比骤降；Capex下修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Foundry / Advanced packaging </w:t>
      </w:r>
      <w:r>
        <w:rPr>
          <w:rFonts w:hint="eastAsia"/>
        </w:rPr>
        <w:t xml:space="preserve">晶圆代工/先进封装</w:t>
      </w:r>
      <w:r>
        <w:t xml:space="preserve"> |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p>
    <w:p>
      <w:pPr>
        <w:pStyle w:val="Compact"/>
        <w:numPr>
          <w:ilvl w:val="0"/>
          <w:numId w:val="1010"/>
        </w:numPr>
      </w:pPr>
      <w:r>
        <w:t xml:space="preserve">Business description (DATA):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10"/>
        </w:numPr>
      </w:pPr>
      <w:r>
        <w:t xml:space="preserve">Customers: NVDA, Apple, AMD, Broadcom, Qualcomm, MediaTek, Marvell, hyperscaler </w:t>
      </w:r>
      <w:r>
        <w:rPr>
          <w:rFonts w:hint="eastAsia"/>
        </w:rPr>
        <w:t xml:space="preserve">ASICs｜NVDA、苹果、AMD、博通、高通、联发科、Marvell、云厂ASIC</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 (EUV), AMAT/LRCX/TEL/KLAC, Shin-Etsu/SUMCO (wafers), </w:t>
      </w:r>
      <w:r>
        <w:rPr>
          <w:rFonts w:hint="eastAsia"/>
        </w:rPr>
        <w:t xml:space="preserve">chemicals｜ASML、设备商、硅片、化学品</w:t>
      </w:r>
    </w:p>
    <w:p>
      <w:pPr>
        <w:pStyle w:val="Compact"/>
        <w:numPr>
          <w:ilvl w:val="0"/>
          <w:numId w:val="1011"/>
        </w:numPr>
      </w:pPr>
      <w:r>
        <w:t xml:space="preserve">Competitors: Samsung Foundry, Intel Foundry (18A/14A), </w:t>
      </w:r>
      <w:r>
        <w:rPr>
          <w:rFonts w:hint="eastAsia"/>
        </w:rPr>
        <w:t xml:space="preserve">SMIC｜三星代工、英特尔代工、中芯国际</w:t>
      </w:r>
    </w:p>
    <w:p>
      <w:pPr>
        <w:pStyle w:val="Compact"/>
        <w:numPr>
          <w:ilvl w:val="0"/>
          <w:numId w:val="1011"/>
        </w:numPr>
      </w:pPr>
      <w:r>
        <w:t xml:space="preserve">Bottlenecks/regulation: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11"/>
        </w:numPr>
      </w:pPr>
      <w:r>
        <w:t xml:space="preserve">KPIs: Monthly revenue, GM%, HPC mix, N3/N2 mix, capex, CoWoS </w:t>
      </w:r>
      <w:r>
        <w:rPr>
          <w:rFonts w:hint="eastAsia"/>
        </w:rPr>
        <w:t xml:space="preserve">capacity｜月营收、毛利率、HPC占比、先进制程占比、Capex、CoWoS产能</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9a8919ad70089875b5f5580c09e75f54debf541"/>
    <w:p>
      <w:pPr>
        <w:pStyle w:val="Heading2"/>
      </w:pPr>
      <w:r>
        <w:t xml:space="preserve">4. Historical financials &amp; cash flow (CONFIRMED, quarterly,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3,518.0 bn TWD; debt 1,068.6 bn TWD; TTM FCF 1,124.7 bn TWD (FCF margin 25.3%).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2026-10-15</w:t>
      </w:r>
      <w:r>
        <w:t xml:space="preserve">; current-quarter EPS consensus 4.52449 (9 analysts); revenue consensus 1,460.4 bn TWD.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$134.02</w:t>
            </w:r>
          </w:p>
        </w:tc>
        <w:tc>
          <w:tcPr/>
          <w:p>
            <w:pPr>
              <w:pStyle w:val="Compact"/>
            </w:pPr>
            <w:r>
              <w:t xml:space="preserve">-68.8%</w:t>
            </w:r>
          </w:p>
        </w:tc>
      </w:tr>
      <w:tr>
        <w:tc>
          <w:tcPr/>
          <w:p>
            <w:pPr>
              <w:pStyle w:val="Compact"/>
            </w:pPr>
            <w:r>
              <w:t xml:space="preserve">2Q</w:t>
            </w:r>
          </w:p>
        </w:tc>
        <w:tc>
          <w:tcPr/>
          <w:p>
            <w:pPr>
              <w:pStyle w:val="Compact"/>
            </w:pPr>
            <w:r>
              <w:t xml:space="preserve">Base</w:t>
            </w:r>
          </w:p>
        </w:tc>
        <w:tc>
          <w:tcPr/>
          <w:p>
            <w:pPr>
              <w:pStyle w:val="Compact"/>
            </w:pPr>
            <w:r>
              <w:t xml:space="preserve">$280.71</w:t>
            </w:r>
          </w:p>
        </w:tc>
        <w:tc>
          <w:tcPr/>
          <w:p>
            <w:pPr>
              <w:pStyle w:val="Compact"/>
            </w:pPr>
            <w:r>
              <w:t xml:space="preserve">-34.7%</w:t>
            </w:r>
          </w:p>
        </w:tc>
      </w:tr>
      <w:tr>
        <w:tc>
          <w:tcPr/>
          <w:p>
            <w:pPr>
              <w:pStyle w:val="Compact"/>
            </w:pPr>
            <w:r>
              <w:t xml:space="preserve">2Q</w:t>
            </w:r>
          </w:p>
        </w:tc>
        <w:tc>
          <w:tcPr/>
          <w:p>
            <w:pPr>
              <w:pStyle w:val="Compact"/>
            </w:pPr>
            <w:r>
              <w:t xml:space="preserve">Bull</w:t>
            </w:r>
          </w:p>
        </w:tc>
        <w:tc>
          <w:tcPr/>
          <w:p>
            <w:pPr>
              <w:pStyle w:val="Compact"/>
            </w:pPr>
            <w:r>
              <w:t xml:space="preserve">$454.88</w:t>
            </w:r>
          </w:p>
        </w:tc>
        <w:tc>
          <w:tcPr/>
          <w:p>
            <w:pPr>
              <w:pStyle w:val="Compact"/>
            </w:pPr>
            <w:r>
              <w:t xml:space="preserve">5.8%</w:t>
            </w:r>
          </w:p>
        </w:tc>
      </w:tr>
      <w:tr>
        <w:tc>
          <w:tcPr/>
          <w:p>
            <w:pPr>
              <w:pStyle w:val="Compact"/>
            </w:pPr>
            <w:r>
              <w:t xml:space="preserve">4Q</w:t>
            </w:r>
          </w:p>
        </w:tc>
        <w:tc>
          <w:tcPr/>
          <w:p>
            <w:pPr>
              <w:pStyle w:val="Compact"/>
            </w:pPr>
            <w:r>
              <w:t xml:space="preserve">Bear</w:t>
            </w:r>
          </w:p>
        </w:tc>
        <w:tc>
          <w:tcPr/>
          <w:p>
            <w:pPr>
              <w:pStyle w:val="Compact"/>
            </w:pPr>
            <w:r>
              <w:t xml:space="preserve">$135.51</w:t>
            </w:r>
          </w:p>
        </w:tc>
        <w:tc>
          <w:tcPr/>
          <w:p>
            <w:pPr>
              <w:pStyle w:val="Compact"/>
            </w:pPr>
            <w:r>
              <w:t xml:space="preserve">-68.5%</w:t>
            </w:r>
          </w:p>
        </w:tc>
      </w:tr>
      <w:tr>
        <w:tc>
          <w:tcPr/>
          <w:p>
            <w:pPr>
              <w:pStyle w:val="Compact"/>
            </w:pPr>
            <w:r>
              <w:t xml:space="preserve">4Q</w:t>
            </w:r>
          </w:p>
        </w:tc>
        <w:tc>
          <w:tcPr/>
          <w:p>
            <w:pPr>
              <w:pStyle w:val="Compact"/>
            </w:pPr>
            <w:r>
              <w:t xml:space="preserve">Base</w:t>
            </w:r>
          </w:p>
        </w:tc>
        <w:tc>
          <w:tcPr/>
          <w:p>
            <w:pPr>
              <w:pStyle w:val="Compact"/>
            </w:pPr>
            <w:r>
              <w:t xml:space="preserve">$313.00</w:t>
            </w:r>
          </w:p>
        </w:tc>
        <w:tc>
          <w:tcPr/>
          <w:p>
            <w:pPr>
              <w:pStyle w:val="Compact"/>
            </w:pPr>
            <w:r>
              <w:t xml:space="preserve">-27.2%</w:t>
            </w:r>
          </w:p>
        </w:tc>
      </w:tr>
      <w:tr>
        <w:tc>
          <w:tcPr/>
          <w:p>
            <w:pPr>
              <w:pStyle w:val="Compact"/>
            </w:pPr>
            <w:r>
              <w:t xml:space="preserve">4Q</w:t>
            </w:r>
          </w:p>
        </w:tc>
        <w:tc>
          <w:tcPr/>
          <w:p>
            <w:pPr>
              <w:pStyle w:val="Compact"/>
            </w:pPr>
            <w:r>
              <w:t xml:space="preserve">Bull</w:t>
            </w:r>
          </w:p>
        </w:tc>
        <w:tc>
          <w:tcPr/>
          <w:p>
            <w:pPr>
              <w:pStyle w:val="Compact"/>
            </w:pPr>
            <w:r>
              <w:t xml:space="preserve">$536.88</w:t>
            </w:r>
          </w:p>
        </w:tc>
        <w:tc>
          <w:tcPr/>
          <w:p>
            <w:pPr>
              <w:pStyle w:val="Compact"/>
            </w:pPr>
            <w:r>
              <w:t xml:space="preserve">24.9%</w:t>
            </w:r>
          </w:p>
        </w:tc>
      </w:tr>
      <w:tr>
        <w:tc>
          <w:tcPr/>
          <w:p>
            <w:pPr>
              <w:pStyle w:val="Compact"/>
            </w:pPr>
            <w:r>
              <w:t xml:space="preserve">6Q</w:t>
            </w:r>
          </w:p>
        </w:tc>
        <w:tc>
          <w:tcPr/>
          <w:p>
            <w:pPr>
              <w:pStyle w:val="Compact"/>
            </w:pPr>
            <w:r>
              <w:t xml:space="preserve">Bear</w:t>
            </w:r>
          </w:p>
        </w:tc>
        <w:tc>
          <w:tcPr/>
          <w:p>
            <w:pPr>
              <w:pStyle w:val="Compact"/>
            </w:pPr>
            <w:r>
              <w:t xml:space="preserve">$137.08</w:t>
            </w:r>
          </w:p>
        </w:tc>
        <w:tc>
          <w:tcPr/>
          <w:p>
            <w:pPr>
              <w:pStyle w:val="Compact"/>
            </w:pPr>
            <w:r>
              <w:t xml:space="preserve">-68.1%</w:t>
            </w:r>
          </w:p>
        </w:tc>
      </w:tr>
      <w:tr>
        <w:tc>
          <w:tcPr/>
          <w:p>
            <w:pPr>
              <w:pStyle w:val="Compact"/>
            </w:pPr>
            <w:r>
              <w:t xml:space="preserve">6Q</w:t>
            </w:r>
          </w:p>
        </w:tc>
        <w:tc>
          <w:tcPr/>
          <w:p>
            <w:pPr>
              <w:pStyle w:val="Compact"/>
            </w:pPr>
            <w:r>
              <w:t xml:space="preserve">Base</w:t>
            </w:r>
          </w:p>
        </w:tc>
        <w:tc>
          <w:tcPr/>
          <w:p>
            <w:pPr>
              <w:pStyle w:val="Compact"/>
            </w:pPr>
            <w:r>
              <w:t xml:space="preserve">$349.33</w:t>
            </w:r>
          </w:p>
        </w:tc>
        <w:tc>
          <w:tcPr/>
          <w:p>
            <w:pPr>
              <w:pStyle w:val="Compact"/>
            </w:pPr>
            <w:r>
              <w:t xml:space="preserve">-18.8%</w:t>
            </w:r>
          </w:p>
        </w:tc>
      </w:tr>
      <w:tr>
        <w:tc>
          <w:tcPr/>
          <w:p>
            <w:pPr>
              <w:pStyle w:val="Compact"/>
            </w:pPr>
            <w:r>
              <w:t xml:space="preserve">6Q</w:t>
            </w:r>
          </w:p>
        </w:tc>
        <w:tc>
          <w:tcPr/>
          <w:p>
            <w:pPr>
              <w:pStyle w:val="Compact"/>
            </w:pPr>
            <w:r>
              <w:t xml:space="preserve">Bull</w:t>
            </w:r>
          </w:p>
        </w:tc>
        <w:tc>
          <w:tcPr/>
          <w:p>
            <w:pPr>
              <w:pStyle w:val="Compact"/>
            </w:pPr>
            <w:r>
              <w:t xml:space="preserve">$633.80</w:t>
            </w:r>
          </w:p>
        </w:tc>
        <w:tc>
          <w:tcPr/>
          <w:p>
            <w:pPr>
              <w:pStyle w:val="Compact"/>
            </w:pPr>
            <w:r>
              <w:t xml:space="preserve">47.4%</w:t>
            </w:r>
          </w:p>
        </w:tc>
      </w:tr>
      <w:tr>
        <w:tc>
          <w:tcPr/>
          <w:p>
            <w:pPr>
              <w:pStyle w:val="Compact"/>
            </w:pPr>
            <w:r>
              <w:t xml:space="preserve">8Q</w:t>
            </w:r>
          </w:p>
        </w:tc>
        <w:tc>
          <w:tcPr/>
          <w:p>
            <w:pPr>
              <w:pStyle w:val="Compact"/>
            </w:pPr>
            <w:r>
              <w:t xml:space="preserve">Bear</w:t>
            </w:r>
          </w:p>
        </w:tc>
        <w:tc>
          <w:tcPr/>
          <w:p>
            <w:pPr>
              <w:pStyle w:val="Compact"/>
            </w:pPr>
            <w:r>
              <w:t xml:space="preserve">$138.74</w:t>
            </w:r>
          </w:p>
        </w:tc>
        <w:tc>
          <w:tcPr/>
          <w:p>
            <w:pPr>
              <w:pStyle w:val="Compact"/>
            </w:pPr>
            <w:r>
              <w:t xml:space="preserve">-67.7%</w:t>
            </w:r>
          </w:p>
        </w:tc>
      </w:tr>
      <w:tr>
        <w:tc>
          <w:tcPr/>
          <w:p>
            <w:pPr>
              <w:pStyle w:val="Compact"/>
            </w:pPr>
            <w:r>
              <w:t xml:space="preserve">8Q</w:t>
            </w:r>
          </w:p>
        </w:tc>
        <w:tc>
          <w:tcPr/>
          <w:p>
            <w:pPr>
              <w:pStyle w:val="Compact"/>
            </w:pPr>
            <w:r>
              <w:t xml:space="preserve">Base</w:t>
            </w:r>
          </w:p>
        </w:tc>
        <w:tc>
          <w:tcPr/>
          <w:p>
            <w:pPr>
              <w:pStyle w:val="Compact"/>
            </w:pPr>
            <w:r>
              <w:t xml:space="preserve">$390.15</w:t>
            </w:r>
          </w:p>
        </w:tc>
        <w:tc>
          <w:tcPr/>
          <w:p>
            <w:pPr>
              <w:pStyle w:val="Compact"/>
            </w:pPr>
            <w:r>
              <w:t xml:space="preserve">-9.3%</w:t>
            </w:r>
          </w:p>
        </w:tc>
      </w:tr>
      <w:tr>
        <w:tc>
          <w:tcPr/>
          <w:p>
            <w:pPr>
              <w:pStyle w:val="Compact"/>
            </w:pPr>
            <w:r>
              <w:t xml:space="preserve">8Q</w:t>
            </w:r>
          </w:p>
        </w:tc>
        <w:tc>
          <w:tcPr/>
          <w:p>
            <w:pPr>
              <w:pStyle w:val="Compact"/>
            </w:pPr>
            <w:r>
              <w:t xml:space="preserve">Bull</w:t>
            </w:r>
          </w:p>
        </w:tc>
        <w:tc>
          <w:tcPr/>
          <w:p>
            <w:pPr>
              <w:pStyle w:val="Compact"/>
            </w:pPr>
            <w:r>
              <w:t xml:space="preserve">$748.25</w:t>
            </w:r>
          </w:p>
        </w:tc>
        <w:tc>
          <w:tcPr/>
          <w:p>
            <w:pPr>
              <w:pStyle w:val="Compact"/>
            </w:pPr>
            <w:r>
              <w:t xml:space="preserve">74.0%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36.9x</w:t>
            </w:r>
          </w:p>
        </w:tc>
      </w:tr>
      <w:tr>
        <w:tc>
          <w:tcPr/>
          <w:p>
            <w:pPr>
              <w:pStyle w:val="Compact"/>
            </w:pPr>
            <w:r>
              <w:t xml:space="preserve">4Q</w:t>
            </w:r>
          </w:p>
        </w:tc>
        <w:tc>
          <w:tcPr/>
          <w:p>
            <w:pPr>
              <w:pStyle w:val="Compact"/>
            </w:pPr>
            <w:r>
              <w:t xml:space="preserve">31.1x</w:t>
            </w:r>
          </w:p>
        </w:tc>
      </w:tr>
      <w:tr>
        <w:tc>
          <w:tcPr/>
          <w:p>
            <w:pPr>
              <w:pStyle w:val="Compact"/>
            </w:pPr>
            <w:r>
              <w:t xml:space="preserve">6Q</w:t>
            </w:r>
          </w:p>
        </w:tc>
        <w:tc>
          <w:tcPr/>
          <w:p>
            <w:pPr>
              <w:pStyle w:val="Compact"/>
            </w:pPr>
            <w:r>
              <w:t xml:space="preserve">26.2x</w:t>
            </w:r>
          </w:p>
        </w:tc>
      </w:tr>
      <w:tr>
        <w:tc>
          <w:tcPr/>
          <w:p>
            <w:pPr>
              <w:pStyle w:val="Compact"/>
            </w:pPr>
            <w:r>
              <w:t xml:space="preserve">8Q</w:t>
            </w:r>
          </w:p>
        </w:tc>
        <w:tc>
          <w:tcPr/>
          <w:p>
            <w:pPr>
              <w:pStyle w:val="Compact"/>
            </w:pPr>
            <w:r>
              <w:t xml:space="preserve">22.1x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$134.34</w:t>
            </w:r>
          </w:p>
        </w:tc>
        <w:tc>
          <w:tcPr/>
          <w:p>
            <w:pPr>
              <w:pStyle w:val="Compact"/>
            </w:pPr>
            <w:r>
              <w:t xml:space="preserve">-68.8%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$350.14</w:t>
            </w:r>
          </w:p>
        </w:tc>
        <w:tc>
          <w:tcPr/>
          <w:p>
            <w:pPr>
              <w:pStyle w:val="Compact"/>
            </w:pPr>
            <w:r>
              <w:t xml:space="preserve">-18.6%</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$655.37</w:t>
            </w:r>
          </w:p>
        </w:tc>
        <w:tc>
          <w:tcPr/>
          <w:p>
            <w:pPr>
              <w:pStyle w:val="Compact"/>
            </w:pPr>
            <w:r>
              <w:t xml:space="preserve">52.4%</w:t>
            </w:r>
          </w:p>
        </w:tc>
      </w:tr>
    </w:tbl>
    <w:p>
      <w:pPr>
        <w:pStyle w:val="BodyText"/>
      </w:pPr>
      <w:r>
        <w:t xml:space="preserve">Probability-weighted value</w:t>
      </w:r>
      <w:r>
        <w:t xml:space="preserve"> </w:t>
      </w:r>
      <w:r>
        <w:rPr>
          <w:b/>
          <w:bCs/>
        </w:rPr>
        <w:t xml:space="preserve">$372.50</w:t>
      </w:r>
      <w:r>
        <w:t xml:space="preserve"> </w:t>
      </w:r>
      <w:r>
        <w:t xml:space="preserve">(-13.4%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55,999.5 bn TWD; terminal share 56.3%.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41.9%</w:t>
      </w:r>
      <w:r>
        <w:t xml:space="preserve"> </w:t>
      </w:r>
      <w:r>
        <w:t xml:space="preserve">vs consensus FY+1 35.9%.</w:t>
      </w:r>
    </w:p>
    <w:p>
      <w:pPr>
        <w:pStyle w:val="Compact"/>
        <w:numPr>
          <w:ilvl w:val="0"/>
          <w:numId w:val="1013"/>
        </w:numPr>
      </w:pPr>
      <w:r>
        <w:t xml:space="preserve">WACC (CAPM) = rf 5.2% + β 1.24 × ERP 5.0% = 11.4%.</w:t>
      </w:r>
    </w:p>
    <w:p>
      <w:pPr>
        <w:pStyle w:val="Compact"/>
        <w:numPr>
          <w:ilvl w:val="0"/>
          <w:numId w:val="1013"/>
        </w:numPr>
      </w:pPr>
      <w:r>
        <w:t xml:space="preserve">SOTP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Geopolitical shock, US tariffs on chips, Intel/Samsung regain </w:t>
      </w:r>
      <w:r>
        <w:rPr>
          <w:rFonts w:hint="eastAsia"/>
        </w:rPr>
        <w:t xml:space="preserve">share｜地缘冲击、美国芯片关税、英特尔/三星夺回份额</w:t>
      </w:r>
      <w:r>
        <w:t xml:space="preserve"> | Falsifiers: GM falls below long-term target band; monthly revenue y/y decelerates sharply; capex </w:t>
      </w:r>
      <w:r>
        <w:rPr>
          <w:rFonts w:hint="eastAsia"/>
        </w:rPr>
        <w:t xml:space="preserve">cut｜毛利率跌破长期目标区间；月营收同比骤降；Capex下修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TSM_model_v20261015-0757.xlsx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2026-10-14T23:58:48Z</dcterms:created>
  <dcterms:modified xsi:type="dcterms:W3CDTF">2026-10-14T23:58:48Z</dcterms:modified>
</cp:coreProperties>
</file>

<file path=docProps/custom.xml><?xml version="1.0" encoding="utf-8"?>
<Properties xmlns="http://schemas.openxmlformats.org/officeDocument/2006/custom-properties" xmlns:vt="http://schemas.openxmlformats.org/officeDocument/2006/docPropsVTypes"/>
</file>