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m-初学者教学版-中文-v20261015-0757"/>
    <w:p>
      <w:pPr>
        <w:pStyle w:val="Heading1"/>
      </w:pPr>
      <w:r>
        <w:t xml:space="preserve">TSM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Taiwan Semiconductor Manufacturing Company Limited </w:t>
      </w:r>
      <w:r>
        <w:rPr>
          <w:rFonts w:hint="eastAsia"/>
        </w:rPr>
        <w:t xml:space="preserve">是一家</w:t>
      </w:r>
      <w:r>
        <w:t xml:space="preserve"> 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$430.00。我们的Base模型认为每股价值约</w:t>
      </w:r>
      <w:r>
        <w:t xml:space="preserve"> </w:t>
      </w:r>
      <w:r>
        <w:rPr>
          <w:rFonts w:hint="eastAsia"/>
        </w:rPr>
        <w:t xml:space="preserve">$350（-18.6%）。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‘4.31’</w:t>
      </w:r>
      <w:r>
        <w:t xml:space="preserve">,</w:t>
      </w:r>
      <w:r>
        <w:t xml:space="preserve"> </w:t>
      </w:r>
      <w:r>
        <w:t xml:space="preserve">‘3.88658’</w:t>
      </w:r>
      <w:r>
        <w:t xml:space="preserve">,</w:t>
      </w:r>
      <w:r>
        <w:t xml:space="preserve"> </w:t>
      </w:r>
      <w:r>
        <w:t xml:space="preserve">‘0.1089’</w:t>
      </w:r>
      <w:r>
        <w:rPr>
          <w:rFonts w:hint="eastAsia"/>
        </w:rPr>
        <w:t xml:space="preserve">]（实际、预期、超预期%）。下次财报约</w:t>
      </w:r>
      <w:r>
        <w:t xml:space="preserve"> 2026-10-15。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4,440.5 bn </w:t>
      </w:r>
      <w:r>
        <w:rPr>
          <w:rFonts w:hint="eastAsia"/>
        </w:rPr>
        <w:t xml:space="preserve">TWD；g₁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11.4%。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6,034.6 bn TWD。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25.3%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1,584.8 bn </w:t>
      </w:r>
      <w:r>
        <w:rPr>
          <w:rFonts w:hint="eastAsia"/>
        </w:rPr>
        <w:t xml:space="preserve">TWD；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1,422.6 bn </w:t>
      </w:r>
      <w:r>
        <w:rPr>
          <w:rFonts w:hint="eastAsia"/>
        </w:rPr>
        <w:t xml:space="preserve">TWD。十年加总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55,999.5 bn TWD。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35.9%；价格隐含增速</w:t>
      </w:r>
      <w:r>
        <w:t xml:space="preserve"> 41.9%。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$134 / Base $350 / Bull </w:t>
      </w:r>
      <w:r>
        <w:rPr>
          <w:rFonts w:hint="eastAsia"/>
        </w:rPr>
        <w:t xml:space="preserve">$655；概率加权</w:t>
      </w:r>
      <w:r>
        <w:t xml:space="preserve"> $372。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58837b85e27b085efa13ed78740c4d86b60e41"/>
    <w:p>
      <w:pPr>
        <w:pStyle w:val="Heading1"/>
      </w:pPr>
      <w:r>
        <w:t xml:space="preserve">TSM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Taiwan Semiconductor Manufacturing Company Limited is a Foundry / Advanced packaging </w:t>
      </w:r>
      <w:r>
        <w:rPr>
          <w:rFonts w:hint="eastAsia"/>
        </w:rPr>
        <w:t xml:space="preserve">晶圆代工/先进封装</w:t>
      </w:r>
      <w:r>
        <w:t xml:space="preserve"> company. Price $430.00; our Base model value ≈ $350 (-18.6%).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‘4.31’</w:t>
      </w:r>
      <w:r>
        <w:t xml:space="preserve">,</w:t>
      </w:r>
      <w:r>
        <w:t xml:space="preserve"> </w:t>
      </w:r>
      <w:r>
        <w:t xml:space="preserve">‘3.88658’</w:t>
      </w:r>
      <w:r>
        <w:t xml:space="preserve">,</w:t>
      </w:r>
      <w:r>
        <w:t xml:space="preserve"> </w:t>
      </w:r>
      <w:r>
        <w:t xml:space="preserve">‘0.1089’</w:t>
      </w:r>
      <w:r>
        <w:t xml:space="preserve">]. Next earnings ≈ 2026-10-15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4,440.5 bn TWD; g₁ = 35.9%; m = long-run FCF margin = 30.0%; W = 11.4%.</w:t>
      </w:r>
      <w:r>
        <w:t xml:space="preserve"> </w:t>
      </w:r>
      <w:r>
        <w:t xml:space="preserve">R₁ = R₀×(1+g₁) = 6,034.6 bn TWD; FCF₁ = 1,584.8 bn TWD; PV = FCF₁/(1+W) = 1,422.6 bn TWD; 10 years + terminal → EV 55,999.5 bn TWD.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35.9%; price-implied growth 41.9%.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$134 / Base $350 / Bull $655; weighted $372.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— Falsifiers: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2026-10-14T23:58:49Z</dcterms:created>
  <dcterms:modified xsi:type="dcterms:W3CDTF">2026-10-14T23:58:49Z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