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3c5edfeac80d41c67eb3ce470640b30331e4459"/>
    <w:p>
      <w:pPr>
        <w:pStyle w:val="Heading1"/>
      </w:pPr>
      <w:r>
        <w:t xml:space="preserve">US Retail Sales (Sep 2026) — Post-Event Review (English) v20261015-2156-post</w:t>
      </w:r>
    </w:p>
    <w:p>
      <w:pPr>
        <w:pStyle w:val="BlockText"/>
      </w:pPr>
      <w:r>
        <w:t xml:space="preserve">INTRADAY market snapshot as of 09:57 ET — close review pending | Locked pre-event book v20261015-1805 (2026-10-15T18:05), not rewritten | Not investment advice</w:t>
      </w:r>
    </w:p>
    <w:bookmarkStart w:id="9" w:name="second-take"/>
    <w:p>
      <w:pPr>
        <w:pStyle w:val="Heading2"/>
      </w:pPr>
      <w:r>
        <w:t xml:space="preserve">30-second take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happened:</w:t>
      </w:r>
      <w:r>
        <w:t xml:space="preserve"> </w:t>
      </w:r>
      <w:r>
        <w:t xml:space="preserve">US Retail Sales (Sep 2026) control = +0.1% vs locked consensus 0.3% / locked OS 0.0%. Locked-rule bucket:</w:t>
      </w:r>
      <w:r>
        <w:t xml:space="preserve"> </w:t>
      </w:r>
      <w:r>
        <w:rPr>
          <w:b/>
          <w:bCs/>
        </w:rPr>
        <w:t xml:space="preserve">strong</w:t>
      </w:r>
      <w:r>
        <w:t xml:space="preserve"> </w:t>
      </w:r>
      <w:r>
        <w:t xml:space="preserve">(fake-strong sub-scenario: headline ≥0.7% on gasoline prices, control ≤0.1%); quality bucket:</w:t>
      </w:r>
      <w:r>
        <w:t xml:space="preserve"> </w:t>
      </w:r>
      <w:r>
        <w:rPr>
          <w:b/>
          <w:bCs/>
        </w:rPr>
        <w:t xml:space="preserve">inline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Markets:</w:t>
      </w:r>
      <w:r>
        <w:t xml:space="preserve"> </w:t>
      </w:r>
      <w:r>
        <w:t xml:space="preserve">10Y -13.2bp on the day, of which -10.9bp happened BEFORE 08:30; release window (08:29→09:15 ET) -2.7bp, 2Y (futures est.) -2.0bp. Kalshi October hike 28% → peak 36% → 28% at T+45 (prior-day 43%).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Lesson:</w:t>
      </w:r>
      <w:r>
        <w:t xml:space="preserve"> </w:t>
      </w:r>
      <w:r>
        <w:t xml:space="preserve">split the time windows; a spike that reverses = the market looked through the headline. Tech weakness (NDX -1.69%, SOX -4.18%) was mostly pre-release (AI-credit/positioning), not this print.</w:t>
      </w:r>
    </w:p>
    <w:bookmarkEnd w:id="9"/>
    <w:bookmarkStart w:id="10" w:name="actual-vs-consensus-vs-locked-os"/>
    <w:p>
      <w:pPr>
        <w:pStyle w:val="Heading2"/>
      </w:pPr>
      <w:r>
        <w:t xml:space="preserve">1. Actual vs consensus vs locked 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Actual (OS calc)</w:t>
            </w:r>
          </w:p>
        </w:tc>
        <w:tc>
          <w:tcPr/>
          <w:p>
            <w:pPr>
              <w:pStyle w:val="Compact"/>
            </w:pPr>
            <w:r>
              <w:t xml:space="preserve">Official rounded</w:t>
            </w:r>
          </w:p>
        </w:tc>
        <w:tc>
          <w:tcPr/>
          <w:p>
            <w:pPr>
              <w:pStyle w:val="Compact"/>
            </w:pPr>
            <w:r>
              <w:t xml:space="preserve">Consensus (locked)</w:t>
            </w:r>
          </w:p>
        </w:tc>
        <w:tc>
          <w:tcPr/>
          <w:p>
            <w:pPr>
              <w:pStyle w:val="Compact"/>
            </w:pPr>
            <w:r>
              <w:t xml:space="preserve">OS (locked)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  <w:tc>
          <w:tcPr/>
          <w:p>
            <w:pPr>
              <w:pStyle w:val="Compact"/>
            </w:pPr>
            <w:r>
              <w:t xml:space="preserve">OS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总额</w:t>
            </w:r>
            <w:r>
              <w:t xml:space="preserve"> Headline MoM</w:t>
            </w:r>
          </w:p>
        </w:tc>
        <w:tc>
          <w:tcPr/>
          <w:p>
            <w:pPr>
              <w:pStyle w:val="Compact"/>
            </w:pPr>
            <w:r>
              <w:t xml:space="preserve">+0.77%</w:t>
            </w:r>
          </w:p>
        </w:tc>
        <w:tc>
          <w:tcPr/>
          <w:p>
            <w:pPr>
              <w:pStyle w:val="Compact"/>
            </w:pPr>
            <w:r>
              <w:t xml:space="preserve">+0.8%</w:t>
            </w:r>
          </w:p>
        </w:tc>
        <w:tc>
          <w:tcPr/>
          <w:p>
            <w:pPr>
              <w:pStyle w:val="Compact"/>
            </w:pPr>
            <w:r>
              <w:t xml:space="preserve">0.3%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+0.47pp</w:t>
            </w:r>
          </w:p>
        </w:tc>
        <w:tc>
          <w:tcPr/>
          <w:p>
            <w:pPr>
              <w:pStyle w:val="Compact"/>
            </w:pPr>
            <w:r>
              <w:t xml:space="preserve">+0.57pp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除汽车</w:t>
            </w:r>
            <w:r>
              <w:t xml:space="preserve"> Ex-auto MoM</w:t>
            </w:r>
          </w:p>
        </w:tc>
        <w:tc>
          <w:tcPr/>
          <w:p>
            <w:pPr>
              <w:pStyle w:val="Compact"/>
            </w:pPr>
            <w:r>
              <w:t xml:space="preserve">+0.90%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0.4%</w:t>
            </w:r>
          </w:p>
        </w:tc>
        <w:tc>
          <w:tcPr/>
          <w:p>
            <w:pPr>
              <w:pStyle w:val="Compact"/>
            </w:pPr>
            <w:r>
              <w:t xml:space="preserve">+0.40pp</w:t>
            </w:r>
          </w:p>
        </w:tc>
        <w:tc>
          <w:tcPr/>
          <w:p>
            <w:pPr>
              <w:pStyle w:val="Compact"/>
            </w:pPr>
            <w:r>
              <w:t xml:space="preserve">+0.50pp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除汽车与汽油</w:t>
            </w:r>
            <w:r>
              <w:t xml:space="preserve"> Ex-auto &amp; gas</w:t>
            </w:r>
          </w:p>
        </w:tc>
        <w:tc>
          <w:tcPr/>
          <w:p>
            <w:pPr>
              <w:pStyle w:val="Compact"/>
            </w:pPr>
            <w:r>
              <w:t xml:space="preserve">+0.25%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控制组</w:t>
            </w:r>
            <w:r>
              <w:t xml:space="preserve"> Control group</w:t>
            </w:r>
          </w:p>
        </w:tc>
        <w:tc>
          <w:tcPr/>
          <w:p>
            <w:pPr>
              <w:pStyle w:val="Compact"/>
            </w:pPr>
            <w:r>
              <w:t xml:space="preserve">+0.14%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-0.16pp</w:t>
            </w:r>
          </w:p>
        </w:tc>
        <w:tc>
          <w:tcPr/>
          <w:p>
            <w:pPr>
              <w:pStyle w:val="Compact"/>
            </w:pPr>
            <w:r>
              <w:t xml:space="preserve">+0.14pp</w:t>
            </w:r>
          </w:p>
        </w:tc>
      </w:tr>
    </w:tbl>
    <w:bookmarkEnd w:id="10"/>
    <w:bookmarkStart w:id="11" w:name="components"/>
    <w:p>
      <w:pPr>
        <w:pStyle w:val="Heading2"/>
      </w:pPr>
      <w:r>
        <w:t xml:space="preserve">2.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MoM</w:t>
            </w:r>
          </w:p>
        </w:tc>
        <w:tc>
          <w:tcPr/>
          <w:p>
            <w:pPr>
              <w:pStyle w:val="Compact"/>
            </w:pPr>
            <w:r>
              <w:t xml:space="preserve">Prior MoM (revised)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加油站</w:t>
            </w:r>
            <w:r>
              <w:t xml:space="preserve"> Gasoline stations</w:t>
            </w:r>
          </w:p>
        </w:tc>
        <w:tc>
          <w:tcPr/>
          <w:p>
            <w:pPr>
              <w:pStyle w:val="Compact"/>
            </w:pPr>
            <w:r>
              <w:t xml:space="preserve">+6.37%</w:t>
            </w:r>
          </w:p>
        </w:tc>
        <w:tc>
          <w:tcPr/>
          <w:p>
            <w:pPr>
              <w:pStyle w:val="Compact"/>
            </w:pPr>
            <w:r>
              <w:t xml:space="preserve">+3.97%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</w:t>
            </w:r>
            <w:r>
              <w:t xml:space="preserve"> Food services</w:t>
            </w:r>
          </w:p>
        </w:tc>
        <w:tc>
          <w:tcPr/>
          <w:p>
            <w:pPr>
              <w:pStyle w:val="Compact"/>
            </w:pPr>
            <w:r>
              <w:t xml:space="preserve">+1.11%</w:t>
            </w:r>
          </w:p>
        </w:tc>
        <w:tc>
          <w:tcPr/>
          <w:p>
            <w:pPr>
              <w:pStyle w:val="Compact"/>
            </w:pPr>
            <w:r>
              <w:t xml:space="preserve">+1.36%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家具</w:t>
            </w:r>
            <w:r>
              <w:t xml:space="preserve"> Furniture</w:t>
            </w:r>
          </w:p>
        </w:tc>
        <w:tc>
          <w:tcPr/>
          <w:p>
            <w:pPr>
              <w:pStyle w:val="Compact"/>
            </w:pPr>
            <w:r>
              <w:t xml:space="preserve">+1.30%</w:t>
            </w:r>
          </w:p>
        </w:tc>
        <w:tc>
          <w:tcPr/>
          <w:p>
            <w:pPr>
              <w:pStyle w:val="Compact"/>
            </w:pPr>
            <w:r>
              <w:t xml:space="preserve">+0.20%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电子电器</w:t>
            </w:r>
            <w:r>
              <w:t xml:space="preserve"> Electronics</w:t>
            </w:r>
          </w:p>
        </w:tc>
        <w:tc>
          <w:tcPr/>
          <w:p>
            <w:pPr>
              <w:pStyle w:val="Compact"/>
            </w:pPr>
            <w:r>
              <w:t xml:space="preserve">+0.60%</w:t>
            </w:r>
          </w:p>
        </w:tc>
        <w:tc>
          <w:tcPr/>
          <w:p>
            <w:pPr>
              <w:pStyle w:val="Compact"/>
            </w:pPr>
            <w:r>
              <w:t xml:space="preserve">+2.09%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健康个护</w:t>
            </w:r>
            <w:r>
              <w:t xml:space="preserve"> Health &amp; personal</w:t>
            </w:r>
          </w:p>
        </w:tc>
        <w:tc>
          <w:tcPr/>
          <w:p>
            <w:pPr>
              <w:pStyle w:val="Compact"/>
            </w:pPr>
            <w:r>
              <w:t xml:space="preserve">+0.73%</w:t>
            </w:r>
          </w:p>
        </w:tc>
        <w:tc>
          <w:tcPr/>
          <w:p>
            <w:pPr>
              <w:pStyle w:val="Compact"/>
            </w:pPr>
            <w:r>
              <w:t xml:space="preserve">+1.21%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无店铺/网购</w:t>
            </w:r>
            <w:r>
              <w:t xml:space="preserve"> Nonstore</w:t>
            </w:r>
          </w:p>
        </w:tc>
        <w:tc>
          <w:tcPr/>
          <w:p>
            <w:pPr>
              <w:pStyle w:val="Compact"/>
            </w:pPr>
            <w:r>
              <w:t xml:space="preserve">+0.29%</w:t>
            </w:r>
          </w:p>
        </w:tc>
        <w:tc>
          <w:tcPr/>
          <w:p>
            <w:pPr>
              <w:pStyle w:val="Compact"/>
            </w:pPr>
            <w:r>
              <w:t xml:space="preserve">+2.02%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食品饮料店</w:t>
            </w:r>
            <w:r>
              <w:t xml:space="preserve"> Food &amp; bev stores</w:t>
            </w:r>
          </w:p>
        </w:tc>
        <w:tc>
          <w:tcPr/>
          <w:p>
            <w:pPr>
              <w:pStyle w:val="Compact"/>
            </w:pPr>
            <w:r>
              <w:t xml:space="preserve">+0.39%</w:t>
            </w:r>
          </w:p>
        </w:tc>
        <w:tc>
          <w:tcPr/>
          <w:p>
            <w:pPr>
              <w:pStyle w:val="Compact"/>
            </w:pPr>
            <w:r>
              <w:t xml:space="preserve">+0.20%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汽车及零件</w:t>
            </w:r>
            <w:r>
              <w:t xml:space="preserve"> Motor vehicles</w:t>
            </w:r>
          </w:p>
        </w:tc>
        <w:tc>
          <w:tcPr/>
          <w:p>
            <w:pPr>
              <w:pStyle w:val="Compact"/>
            </w:pPr>
            <w:r>
              <w:t xml:space="preserve">+0.22%</w:t>
            </w:r>
          </w:p>
        </w:tc>
        <w:tc>
          <w:tcPr/>
          <w:p>
            <w:pPr>
              <w:pStyle w:val="Compact"/>
            </w:pPr>
            <w:r>
              <w:t xml:space="preserve">+0.68%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服装</w:t>
            </w:r>
            <w:r>
              <w:t xml:space="preserve"> Clothing</w:t>
            </w:r>
          </w:p>
        </w:tc>
        <w:tc>
          <w:tcPr/>
          <w:p>
            <w:pPr>
              <w:pStyle w:val="Compact"/>
            </w:pPr>
            <w:r>
              <w:t xml:space="preserve">-0.03%</w:t>
            </w:r>
          </w:p>
        </w:tc>
        <w:tc>
          <w:tcPr/>
          <w:p>
            <w:pPr>
              <w:pStyle w:val="Compact"/>
            </w:pPr>
            <w:r>
              <w:t xml:space="preserve">+0.60%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综合商品</w:t>
            </w:r>
            <w:r>
              <w:t xml:space="preserve"> General merch.</w:t>
            </w:r>
          </w:p>
        </w:tc>
        <w:tc>
          <w:tcPr/>
          <w:p>
            <w:pPr>
              <w:pStyle w:val="Compact"/>
            </w:pPr>
            <w:r>
              <w:t xml:space="preserve">-0.08%</w:t>
            </w:r>
          </w:p>
        </w:tc>
        <w:tc>
          <w:tcPr/>
          <w:p>
            <w:pPr>
              <w:pStyle w:val="Compact"/>
            </w:pPr>
            <w:r>
              <w:t xml:space="preserve">+0.75%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体育/爱好</w:t>
            </w:r>
            <w:r>
              <w:t xml:space="preserve"> Sporting/hobby</w:t>
            </w:r>
          </w:p>
        </w:tc>
        <w:tc>
          <w:tcPr/>
          <w:p>
            <w:pPr>
              <w:pStyle w:val="Compact"/>
            </w:pPr>
            <w:r>
              <w:t xml:space="preserve">-0.53%</w:t>
            </w:r>
          </w:p>
        </w:tc>
        <w:tc>
          <w:tcPr/>
          <w:p>
            <w:pPr>
              <w:pStyle w:val="Compact"/>
            </w:pPr>
            <w:r>
              <w:t xml:space="preserve">+1.01%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建材园艺</w:t>
            </w:r>
            <w:r>
              <w:t xml:space="preserve"> Building mat.</w:t>
            </w:r>
          </w:p>
        </w:tc>
        <w:tc>
          <w:tcPr/>
          <w:p>
            <w:pPr>
              <w:pStyle w:val="Compact"/>
            </w:pPr>
            <w:r>
              <w:t xml:space="preserve">-0.56%</w:t>
            </w:r>
          </w:p>
        </w:tc>
        <w:tc>
          <w:tcPr/>
          <w:p>
            <w:pPr>
              <w:pStyle w:val="Compact"/>
            </w:pPr>
            <w:r>
              <w:t xml:space="preserve">+0.20%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杂项零售</w:t>
            </w:r>
            <w:r>
              <w:t xml:space="preserve"> Misc. stores</w:t>
            </w:r>
          </w:p>
        </w:tc>
        <w:tc>
          <w:tcPr/>
          <w:p>
            <w:pPr>
              <w:pStyle w:val="Compact"/>
            </w:pPr>
            <w:r>
              <w:t xml:space="preserve">-3.02%</w:t>
            </w:r>
          </w:p>
        </w:tc>
        <w:tc>
          <w:tcPr/>
          <w:p>
            <w:pPr>
              <w:pStyle w:val="Compact"/>
            </w:pPr>
            <w:r>
              <w:t xml:space="preserve">+3.55%</w:t>
            </w:r>
          </w:p>
        </w:tc>
      </w:tr>
    </w:tbl>
    <w:bookmarkEnd w:id="11"/>
    <w:bookmarkStart w:id="12" w:name="market-reaction"/>
    <w:p>
      <w:pPr>
        <w:pStyle w:val="Heading2"/>
      </w:pPr>
      <w:r>
        <w:t xml:space="preserve">3. Market reaction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前收</w:t>
            </w:r>
          </w:p>
        </w:tc>
        <w:tc>
          <w:tcPr/>
          <w:p>
            <w:pPr>
              <w:pStyle w:val="Compact"/>
            </w:pPr>
            <w:r>
              <w:t xml:space="preserve">08:29 ET</w:t>
            </w:r>
          </w:p>
        </w:tc>
        <w:tc>
          <w:tcPr/>
          <w:p>
            <w:pPr>
              <w:pStyle w:val="Compact"/>
            </w:pPr>
            <w:r>
              <w:t xml:space="preserve">08:31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09:15（T+45）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公布瞬间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</w:t>
            </w:r>
            <w:r>
              <w:t xml:space="preserve"> 45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较前收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</w:t>
            </w:r>
            <w:r>
              <w:rPr>
                <w:rFonts w:hint="eastAsia"/>
              </w:rPr>
              <w:t xml:space="preserve">美债</w:t>
            </w:r>
            <w:r>
              <w:t xml:space="preserve"> (^TNX)</w:t>
            </w:r>
          </w:p>
        </w:tc>
        <w:tc>
          <w:tcPr/>
          <w:p>
            <w:pPr>
              <w:pStyle w:val="Compact"/>
            </w:pPr>
            <w:r>
              <w:t xml:space="preserve">5.190%</w:t>
            </w:r>
          </w:p>
        </w:tc>
        <w:tc>
          <w:tcPr/>
          <w:p>
            <w:pPr>
              <w:pStyle w:val="Compact"/>
            </w:pPr>
            <w:r>
              <w:t xml:space="preserve">5.081%</w:t>
            </w:r>
          </w:p>
        </w:tc>
        <w:tc>
          <w:tcPr/>
          <w:p>
            <w:pPr>
              <w:pStyle w:val="Compact"/>
            </w:pPr>
            <w:r>
              <w:t xml:space="preserve">5.095%</w:t>
            </w:r>
          </w:p>
        </w:tc>
        <w:tc>
          <w:tcPr/>
          <w:p>
            <w:pPr>
              <w:pStyle w:val="Compact"/>
            </w:pPr>
            <w:r>
              <w:t xml:space="preserve">5.054%</w:t>
            </w:r>
          </w:p>
        </w:tc>
        <w:tc>
          <w:tcPr/>
          <w:p>
            <w:pPr>
              <w:pStyle w:val="Compact"/>
            </w:pPr>
            <w:r>
              <w:t xml:space="preserve">5.058%</w:t>
            </w:r>
          </w:p>
        </w:tc>
        <w:tc>
          <w:tcPr/>
          <w:p>
            <w:pPr>
              <w:pStyle w:val="Compact"/>
            </w:pPr>
            <w:r>
              <w:t xml:space="preserve">+1.4bp</w:t>
            </w:r>
          </w:p>
        </w:tc>
        <w:tc>
          <w:tcPr/>
          <w:p>
            <w:pPr>
              <w:pStyle w:val="Compact"/>
            </w:pPr>
            <w:r>
              <w:t xml:space="preserve">-2.7bp</w:t>
            </w:r>
          </w:p>
        </w:tc>
        <w:tc>
          <w:tcPr/>
          <w:p>
            <w:pPr>
              <w:pStyle w:val="Compact"/>
            </w:pPr>
            <w:r>
              <w:t xml:space="preserve">-13.2bp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5Y (^FVX)</w:t>
            </w:r>
          </w:p>
        </w:tc>
        <w:tc>
          <w:tcPr/>
          <w:p>
            <w:pPr>
              <w:pStyle w:val="Compact"/>
            </w:pPr>
            <w:r>
              <w:t xml:space="preserve">4.992%</w:t>
            </w:r>
          </w:p>
        </w:tc>
        <w:tc>
          <w:tcPr/>
          <w:p>
            <w:pPr>
              <w:pStyle w:val="Compact"/>
            </w:pPr>
            <w:r>
              <w:t xml:space="preserve">4.890%</w:t>
            </w:r>
          </w:p>
        </w:tc>
        <w:tc>
          <w:tcPr/>
          <w:p>
            <w:pPr>
              <w:pStyle w:val="Compact"/>
            </w:pPr>
            <w:r>
              <w:t xml:space="preserve">4.913%</w:t>
            </w:r>
          </w:p>
        </w:tc>
        <w:tc>
          <w:tcPr/>
          <w:p>
            <w:pPr>
              <w:pStyle w:val="Compact"/>
            </w:pPr>
            <w:r>
              <w:t xml:space="preserve">4.868%</w:t>
            </w:r>
          </w:p>
        </w:tc>
        <w:tc>
          <w:tcPr/>
          <w:p>
            <w:pPr>
              <w:pStyle w:val="Compact"/>
            </w:pPr>
            <w:r>
              <w:t xml:space="preserve">4.865%</w:t>
            </w:r>
          </w:p>
        </w:tc>
        <w:tc>
          <w:tcPr/>
          <w:p>
            <w:pPr>
              <w:pStyle w:val="Compact"/>
            </w:pPr>
            <w:r>
              <w:t xml:space="preserve">+2.3bp</w:t>
            </w:r>
          </w:p>
        </w:tc>
        <w:tc>
          <w:tcPr/>
          <w:p>
            <w:pPr>
              <w:pStyle w:val="Compact"/>
            </w:pPr>
            <w:r>
              <w:t xml:space="preserve">-2.2bp</w:t>
            </w:r>
          </w:p>
        </w:tc>
        <w:tc>
          <w:tcPr/>
          <w:p>
            <w:pPr>
              <w:pStyle w:val="Compact"/>
            </w:pPr>
            <w:r>
              <w:t xml:space="preserve">-12.7bp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2Y（ZT</w:t>
            </w:r>
            <w:r>
              <w:t xml:space="preserve"> </w:t>
            </w:r>
            <w:r>
              <w:rPr>
                <w:rFonts w:hint="eastAsia"/>
              </w:rPr>
              <w:t xml:space="preserve">期货估算</w:t>
            </w:r>
            <w:r>
              <w:t xml:space="preserve"> / CNBC </w:t>
            </w:r>
            <w:r>
              <w:rPr>
                <w:rFonts w:hint="eastAsia"/>
              </w:rPr>
              <w:t xml:space="preserve">现货）</w:t>
            </w:r>
          </w:p>
        </w:tc>
        <w:tc>
          <w:tcPr/>
          <w:p>
            <w:pPr>
              <w:pStyle w:val="Compact"/>
            </w:pPr>
            <w:r>
              <w:t xml:space="preserve">4.802%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4.688%（09:56</w:t>
            </w:r>
            <w:r>
              <w:t xml:space="preserve"> </w:t>
            </w:r>
            <w:r>
              <w:rPr>
                <w:rFonts w:hint="eastAsia"/>
              </w:rPr>
              <w:t xml:space="preserve">ET）</w:t>
            </w:r>
          </w:p>
        </w:tc>
        <w:tc>
          <w:tcPr/>
          <w:p>
            <w:pPr>
              <w:pStyle w:val="Compact"/>
            </w:pPr>
            <w:r>
              <w:t xml:space="preserve">+2.2bp</w:t>
            </w:r>
          </w:p>
        </w:tc>
        <w:tc>
          <w:tcPr/>
          <w:p>
            <w:pPr>
              <w:pStyle w:val="Compact"/>
            </w:pPr>
            <w:r>
              <w:t xml:space="preserve">-2.0bp</w:t>
            </w:r>
          </w:p>
        </w:tc>
        <w:tc>
          <w:tcPr/>
          <w:p>
            <w:pPr>
              <w:pStyle w:val="Compact"/>
            </w:pPr>
            <w:r>
              <w:t xml:space="preserve">-11.4bp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USD/JPY</w:t>
            </w:r>
          </w:p>
        </w:tc>
        <w:tc>
          <w:tcPr/>
          <w:p>
            <w:pPr>
              <w:pStyle w:val="Compact"/>
            </w:pPr>
            <w:r>
              <w:t xml:space="preserve">158.32</w:t>
            </w:r>
          </w:p>
        </w:tc>
        <w:tc>
          <w:tcPr/>
          <w:p>
            <w:pPr>
              <w:pStyle w:val="Compact"/>
            </w:pPr>
            <w:r>
              <w:t xml:space="preserve">158.01</w:t>
            </w:r>
          </w:p>
        </w:tc>
        <w:tc>
          <w:tcPr/>
          <w:p>
            <w:pPr>
              <w:pStyle w:val="Compact"/>
            </w:pPr>
            <w:r>
              <w:t xml:space="preserve">158.07</w:t>
            </w:r>
          </w:p>
        </w:tc>
        <w:tc>
          <w:tcPr/>
          <w:p>
            <w:pPr>
              <w:pStyle w:val="Compact"/>
            </w:pPr>
            <w:r>
              <w:t xml:space="preserve">157.84</w:t>
            </w:r>
          </w:p>
        </w:tc>
        <w:tc>
          <w:tcPr/>
          <w:p>
            <w:pPr>
              <w:pStyle w:val="Compact"/>
            </w:pPr>
            <w:r>
              <w:t xml:space="preserve">157.56</w:t>
            </w:r>
          </w:p>
        </w:tc>
        <w:tc>
          <w:tcPr/>
          <w:p>
            <w:pPr>
              <w:pStyle w:val="Compact"/>
            </w:pPr>
            <w:r>
              <w:t xml:space="preserve">+0.04%</w:t>
            </w:r>
          </w:p>
        </w:tc>
        <w:tc>
          <w:tcPr/>
          <w:p>
            <w:pPr>
              <w:pStyle w:val="Compact"/>
            </w:pPr>
            <w:r>
              <w:t xml:space="preserve">-0.11%</w:t>
            </w:r>
          </w:p>
        </w:tc>
        <w:tc>
          <w:tcPr/>
          <w:p>
            <w:pPr>
              <w:pStyle w:val="Compact"/>
            </w:pPr>
            <w:r>
              <w:t xml:space="preserve">-0.48%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DXY </w:t>
            </w:r>
            <w:r>
              <w:rPr>
                <w:rFonts w:hint="eastAsia"/>
              </w:rPr>
              <w:t xml:space="preserve">美元指数</w:t>
            </w:r>
          </w:p>
        </w:tc>
        <w:tc>
          <w:tcPr/>
          <w:p>
            <w:pPr>
              <w:pStyle w:val="Compact"/>
            </w:pPr>
            <w:r>
              <w:t xml:space="preserve">102.55</w:t>
            </w:r>
          </w:p>
        </w:tc>
        <w:tc>
          <w:tcPr/>
          <w:p>
            <w:pPr>
              <w:pStyle w:val="Compact"/>
            </w:pPr>
            <w:r>
              <w:t xml:space="preserve">102.13</w:t>
            </w:r>
          </w:p>
        </w:tc>
        <w:tc>
          <w:tcPr/>
          <w:p>
            <w:pPr>
              <w:pStyle w:val="Compact"/>
            </w:pPr>
            <w:r>
              <w:t xml:space="preserve">102.21</w:t>
            </w:r>
          </w:p>
        </w:tc>
        <w:tc>
          <w:tcPr/>
          <w:p>
            <w:pPr>
              <w:pStyle w:val="Compact"/>
            </w:pPr>
            <w:r>
              <w:t xml:space="preserve">102.07</w:t>
            </w:r>
          </w:p>
        </w:tc>
        <w:tc>
          <w:tcPr/>
          <w:p>
            <w:pPr>
              <w:pStyle w:val="Compact"/>
            </w:pPr>
            <w:r>
              <w:t xml:space="preserve">102.06</w:t>
            </w:r>
          </w:p>
        </w:tc>
        <w:tc>
          <w:tcPr/>
          <w:p>
            <w:pPr>
              <w:pStyle w:val="Compact"/>
            </w:pPr>
            <w:r>
              <w:t xml:space="preserve">+0.08%</w:t>
            </w:r>
          </w:p>
        </w:tc>
        <w:tc>
          <w:tcPr/>
          <w:p>
            <w:pPr>
              <w:pStyle w:val="Compact"/>
            </w:pPr>
            <w:r>
              <w:t xml:space="preserve">-0.05%</w:t>
            </w:r>
          </w:p>
        </w:tc>
        <w:tc>
          <w:tcPr/>
          <w:p>
            <w:pPr>
              <w:pStyle w:val="Compact"/>
            </w:pPr>
            <w:r>
              <w:t xml:space="preserve">-0.48%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NQ </w:t>
            </w:r>
            <w:r>
              <w:rPr>
                <w:rFonts w:hint="eastAsia"/>
              </w:rPr>
              <w:t xml:space="preserve">纳指期货</w:t>
            </w:r>
          </w:p>
        </w:tc>
        <w:tc>
          <w:tcPr/>
          <w:p>
            <w:pPr>
              <w:pStyle w:val="Compact"/>
            </w:pPr>
            <w:r>
              <w:t xml:space="preserve">30,182.75</w:t>
            </w:r>
          </w:p>
        </w:tc>
        <w:tc>
          <w:tcPr/>
          <w:p>
            <w:pPr>
              <w:pStyle w:val="Compact"/>
            </w:pPr>
            <w:r>
              <w:t xml:space="preserve">29,833.00</w:t>
            </w:r>
          </w:p>
        </w:tc>
        <w:tc>
          <w:tcPr/>
          <w:p>
            <w:pPr>
              <w:pStyle w:val="Compact"/>
            </w:pPr>
            <w:r>
              <w:t xml:space="preserve">29,754.00</w:t>
            </w:r>
          </w:p>
        </w:tc>
        <w:tc>
          <w:tcPr/>
          <w:p>
            <w:pPr>
              <w:pStyle w:val="Compact"/>
            </w:pPr>
            <w:r>
              <w:t xml:space="preserve">29,799.50</w:t>
            </w:r>
          </w:p>
        </w:tc>
        <w:tc>
          <w:tcPr/>
          <w:p>
            <w:pPr>
              <w:pStyle w:val="Compact"/>
            </w:pPr>
            <w:r>
              <w:t xml:space="preserve">29,755.25</w:t>
            </w:r>
          </w:p>
        </w:tc>
        <w:tc>
          <w:tcPr/>
          <w:p>
            <w:pPr>
              <w:pStyle w:val="Compact"/>
            </w:pPr>
            <w:r>
              <w:t xml:space="preserve">-0.26%</w:t>
            </w:r>
          </w:p>
        </w:tc>
        <w:tc>
          <w:tcPr/>
          <w:p>
            <w:pPr>
              <w:pStyle w:val="Compact"/>
            </w:pPr>
            <w:r>
              <w:t xml:space="preserve">-0.11%</w:t>
            </w:r>
          </w:p>
        </w:tc>
        <w:tc>
          <w:tcPr/>
          <w:p>
            <w:pPr>
              <w:pStyle w:val="Compact"/>
            </w:pPr>
            <w:r>
              <w:t xml:space="preserve">-1.42%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 </w:t>
            </w:r>
            <w:r>
              <w:rPr>
                <w:rFonts w:hint="eastAsia"/>
              </w:rPr>
              <w:t xml:space="preserve">标普期货</w:t>
            </w:r>
          </w:p>
        </w:tc>
        <w:tc>
          <w:tcPr/>
          <w:p>
            <w:pPr>
              <w:pStyle w:val="Compact"/>
            </w:pPr>
            <w:r>
              <w:t xml:space="preserve">7,770.25</w:t>
            </w:r>
          </w:p>
        </w:tc>
        <w:tc>
          <w:tcPr/>
          <w:p>
            <w:pPr>
              <w:pStyle w:val="Compact"/>
            </w:pPr>
            <w:r>
              <w:t xml:space="preserve">7,751.50</w:t>
            </w:r>
          </w:p>
        </w:tc>
        <w:tc>
          <w:tcPr/>
          <w:p>
            <w:pPr>
              <w:pStyle w:val="Compact"/>
            </w:pPr>
            <w:r>
              <w:t xml:space="preserve">7,737.75</w:t>
            </w:r>
          </w:p>
        </w:tc>
        <w:tc>
          <w:tcPr/>
          <w:p>
            <w:pPr>
              <w:pStyle w:val="Compact"/>
            </w:pPr>
            <w:r>
              <w:t xml:space="preserve">7,744.00</w:t>
            </w:r>
          </w:p>
        </w:tc>
        <w:tc>
          <w:tcPr/>
          <w:p>
            <w:pPr>
              <w:pStyle w:val="Compact"/>
            </w:pPr>
            <w:r>
              <w:t xml:space="preserve">7,732.00</w:t>
            </w:r>
          </w:p>
        </w:tc>
        <w:tc>
          <w:tcPr/>
          <w:p>
            <w:pPr>
              <w:pStyle w:val="Compact"/>
            </w:pPr>
            <w:r>
              <w:t xml:space="preserve">-0.18%</w:t>
            </w:r>
          </w:p>
        </w:tc>
        <w:tc>
          <w:tcPr/>
          <w:p>
            <w:pPr>
              <w:pStyle w:val="Compact"/>
            </w:pPr>
            <w:r>
              <w:t xml:space="preserve">-0.10%</w:t>
            </w:r>
          </w:p>
        </w:tc>
        <w:tc>
          <w:tcPr/>
          <w:p>
            <w:pPr>
              <w:pStyle w:val="Compact"/>
            </w:pPr>
            <w:r>
              <w:t xml:space="preserve">-0.49%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黄金</w:t>
            </w:r>
            <w:r>
              <w:t xml:space="preserve"> Gold</w:t>
            </w:r>
          </w:p>
        </w:tc>
        <w:tc>
          <w:tcPr/>
          <w:p>
            <w:pPr>
              <w:pStyle w:val="Compact"/>
            </w:pPr>
            <w:r>
              <w:t xml:space="preserve">4,107.90</w:t>
            </w:r>
          </w:p>
        </w:tc>
        <w:tc>
          <w:tcPr/>
          <w:p>
            <w:pPr>
              <w:pStyle w:val="Compact"/>
            </w:pPr>
            <w:r>
              <w:t xml:space="preserve">4,176.00</w:t>
            </w:r>
          </w:p>
        </w:tc>
        <w:tc>
          <w:tcPr/>
          <w:p>
            <w:pPr>
              <w:pStyle w:val="Compact"/>
            </w:pPr>
            <w:r>
              <w:t xml:space="preserve">4,164.50</w:t>
            </w:r>
          </w:p>
        </w:tc>
        <w:tc>
          <w:tcPr/>
          <w:p>
            <w:pPr>
              <w:pStyle w:val="Compact"/>
            </w:pPr>
            <w:r>
              <w:t xml:space="preserve">4,184.10</w:t>
            </w:r>
          </w:p>
        </w:tc>
        <w:tc>
          <w:tcPr/>
          <w:p>
            <w:pPr>
              <w:pStyle w:val="Compact"/>
            </w:pPr>
            <w:r>
              <w:t xml:space="preserve">4,178.60</w:t>
            </w:r>
          </w:p>
        </w:tc>
        <w:tc>
          <w:tcPr/>
          <w:p>
            <w:pPr>
              <w:pStyle w:val="Compact"/>
            </w:pPr>
            <w:r>
              <w:t xml:space="preserve">-0.28%</w:t>
            </w:r>
          </w:p>
        </w:tc>
        <w:tc>
          <w:tcPr/>
          <w:p>
            <w:pPr>
              <w:pStyle w:val="Compact"/>
            </w:pPr>
            <w:r>
              <w:t xml:space="preserve">+0.19%</w:t>
            </w:r>
          </w:p>
        </w:tc>
        <w:tc>
          <w:tcPr/>
          <w:p>
            <w:pPr>
              <w:pStyle w:val="Compact"/>
            </w:pPr>
            <w:r>
              <w:t xml:space="preserve">+1.72%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WTI </w:t>
            </w:r>
            <w:r>
              <w:rPr>
                <w:rFonts w:hint="eastAsia"/>
              </w:rPr>
              <w:t xml:space="preserve">原油</w:t>
            </w:r>
          </w:p>
        </w:tc>
        <w:tc>
          <w:tcPr/>
          <w:p>
            <w:pPr>
              <w:pStyle w:val="Compact"/>
            </w:pPr>
            <w:r>
              <w:t xml:space="preserve">95.09</w:t>
            </w:r>
          </w:p>
        </w:tc>
        <w:tc>
          <w:tcPr/>
          <w:p>
            <w:pPr>
              <w:pStyle w:val="Compact"/>
            </w:pPr>
            <w:r>
              <w:t xml:space="preserve">93.84</w:t>
            </w:r>
          </w:p>
        </w:tc>
        <w:tc>
          <w:tcPr/>
          <w:p>
            <w:pPr>
              <w:pStyle w:val="Compact"/>
            </w:pPr>
            <w:r>
              <w:t xml:space="preserve">93.68</w:t>
            </w:r>
          </w:p>
        </w:tc>
        <w:tc>
          <w:tcPr/>
          <w:p>
            <w:pPr>
              <w:pStyle w:val="Compact"/>
            </w:pPr>
            <w:r>
              <w:t xml:space="preserve">94.47</w:t>
            </w:r>
          </w:p>
        </w:tc>
        <w:tc>
          <w:tcPr/>
          <w:p>
            <w:pPr>
              <w:pStyle w:val="Compact"/>
            </w:pPr>
            <w:r>
              <w:t xml:space="preserve">94.46</w:t>
            </w:r>
          </w:p>
        </w:tc>
        <w:tc>
          <w:tcPr/>
          <w:p>
            <w:pPr>
              <w:pStyle w:val="Compact"/>
            </w:pPr>
            <w:r>
              <w:t xml:space="preserve">-0.17%</w:t>
            </w:r>
          </w:p>
        </w:tc>
        <w:tc>
          <w:tcPr/>
          <w:p>
            <w:pPr>
              <w:pStyle w:val="Compact"/>
            </w:pPr>
            <w:r>
              <w:t xml:space="preserve">+0.67%</w:t>
            </w:r>
          </w:p>
        </w:tc>
        <w:tc>
          <w:tcPr/>
          <w:p>
            <w:pPr>
              <w:pStyle w:val="Compact"/>
            </w:pPr>
            <w:r>
              <w:t xml:space="preserve">-0.66%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</w:t>
            </w:r>
          </w:p>
        </w:tc>
        <w:tc>
          <w:tcPr/>
          <w:p>
            <w:pPr>
              <w:pStyle w:val="Compact"/>
            </w:pPr>
            <w:r>
              <w:t xml:space="preserve">16.87</w:t>
            </w:r>
          </w:p>
        </w:tc>
        <w:tc>
          <w:tcPr/>
          <w:p>
            <w:pPr>
              <w:pStyle w:val="Compact"/>
            </w:pPr>
            <w:r>
              <w:t xml:space="preserve">17.48</w:t>
            </w:r>
          </w:p>
        </w:tc>
        <w:tc>
          <w:tcPr/>
          <w:p>
            <w:pPr>
              <w:pStyle w:val="Compact"/>
            </w:pPr>
            <w:r>
              <w:t xml:space="preserve">17.69</w:t>
            </w:r>
          </w:p>
        </w:tc>
        <w:tc>
          <w:tcPr/>
          <w:p>
            <w:pPr>
              <w:pStyle w:val="Compact"/>
            </w:pPr>
            <w:r>
              <w:t xml:space="preserve">17.49</w:t>
            </w:r>
          </w:p>
        </w:tc>
        <w:tc>
          <w:tcPr/>
          <w:p>
            <w:pPr>
              <w:pStyle w:val="Compact"/>
            </w:pPr>
            <w:r>
              <w:t xml:space="preserve">17.47</w:t>
            </w:r>
          </w:p>
        </w:tc>
        <w:tc>
          <w:tcPr/>
          <w:p>
            <w:pPr>
              <w:pStyle w:val="Compact"/>
            </w:pPr>
            <w:r>
              <w:t xml:space="preserve">+0.21</w:t>
            </w:r>
          </w:p>
        </w:tc>
        <w:tc>
          <w:tcPr/>
          <w:p>
            <w:pPr>
              <w:pStyle w:val="Compact"/>
            </w:pPr>
            <w:r>
              <w:t xml:space="preserve">+0.01</w:t>
            </w:r>
          </w:p>
        </w:tc>
        <w:tc>
          <w:tcPr/>
          <w:p>
            <w:pPr>
              <w:pStyle w:val="Compact"/>
            </w:pPr>
            <w:r>
              <w:t xml:space="preserve">+0.60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NDX </w:t>
            </w:r>
            <w:r>
              <w:rPr>
                <w:rFonts w:hint="eastAsia"/>
              </w:rPr>
              <w:t xml:space="preserve">纳指100</w:t>
            </w:r>
          </w:p>
        </w:tc>
        <w:tc>
          <w:tcPr/>
          <w:p>
            <w:pPr>
              <w:pStyle w:val="Compact"/>
            </w:pPr>
            <w:r>
              <w:t xml:space="preserve">29,950.82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（09:30</w:t>
            </w:r>
            <w:r>
              <w:t xml:space="preserve"> </w:t>
            </w:r>
            <w:r>
              <w:rPr>
                <w:rFonts w:hint="eastAsia"/>
              </w:rPr>
              <w:t xml:space="preserve">开盘）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29,445.84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-1.69%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</w:t>
            </w:r>
            <w:r>
              <w:rPr>
                <w:rFonts w:hint="eastAsia"/>
              </w:rPr>
              <w:t xml:space="preserve">费城半导体</w:t>
            </w:r>
          </w:p>
        </w:tc>
        <w:tc>
          <w:tcPr/>
          <w:p>
            <w:pPr>
              <w:pStyle w:val="Compact"/>
            </w:pPr>
            <w:r>
              <w:t xml:space="preserve">11,684.38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（09:30</w:t>
            </w:r>
            <w:r>
              <w:t xml:space="preserve"> </w:t>
            </w:r>
            <w:r>
              <w:rPr>
                <w:rFonts w:hint="eastAsia"/>
              </w:rPr>
              <w:t xml:space="preserve">开盘）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11,195.53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-4.18%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S&amp;P 500</w:t>
            </w:r>
          </w:p>
        </w:tc>
        <w:tc>
          <w:tcPr/>
          <w:p>
            <w:pPr>
              <w:pStyle w:val="Compact"/>
            </w:pPr>
            <w:r>
              <w:t xml:space="preserve">7,718.94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（09:30</w:t>
            </w:r>
            <w:r>
              <w:t xml:space="preserve"> </w:t>
            </w:r>
            <w:r>
              <w:rPr>
                <w:rFonts w:hint="eastAsia"/>
              </w:rPr>
              <w:t xml:space="preserve">开盘）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7,673.85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-0.58%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合约（Kalshi）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前一日参考价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公布前</w:t>
            </w:r>
            <w:r>
              <w:t xml:space="preserve"> 08:29 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公布后峰值(08:30–09:15)</w:t>
            </w:r>
          </w:p>
        </w:tc>
        <w:tc>
          <w:tcPr/>
          <w:p>
            <w:pPr>
              <w:pStyle w:val="Compact"/>
            </w:pPr>
            <w:r>
              <w:t xml:space="preserve">T+45 09:15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10/28 </w:t>
            </w:r>
            <w:r>
              <w:rPr>
                <w:rFonts w:hint="eastAsia"/>
              </w:rPr>
              <w:t xml:space="preserve">会议</w:t>
            </w:r>
            <w:r>
              <w:t xml:space="preserve"> </w:t>
            </w:r>
            <w:r>
              <w:rPr>
                <w:rFonts w:hint="eastAsia"/>
              </w:rPr>
              <w:t xml:space="preserve">加息</w:t>
            </w:r>
            <w:r>
              <w:t xml:space="preserve"> 25bp</w:t>
            </w:r>
          </w:p>
        </w:tc>
        <w:tc>
          <w:tcPr/>
          <w:p>
            <w:pPr>
              <w:pStyle w:val="Compact"/>
            </w:pPr>
            <w:r>
              <w:t xml:space="preserve">43%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36%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27%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月会议</w:t>
            </w:r>
            <w:r>
              <w:t xml:space="preserve"> </w:t>
            </w:r>
            <w:r>
              <w:rPr>
                <w:rFonts w:hint="eastAsia"/>
              </w:rPr>
              <w:t xml:space="preserve">加息</w:t>
            </w:r>
            <w:r>
              <w:t xml:space="preserve"> 25bp</w:t>
            </w:r>
          </w:p>
        </w:tc>
        <w:tc>
          <w:tcPr/>
          <w:p>
            <w:pPr>
              <w:pStyle w:val="Compact"/>
            </w:pPr>
            <w:r>
              <w:t xml:space="preserve">81%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</w:tr>
    </w:tbl>
    <w:bookmarkEnd w:id="12"/>
    <w:bookmarkStart w:id="13" w:name="watchlist"/>
    <w:p>
      <w:pPr>
        <w:pStyle w:val="Heading2"/>
      </w:pPr>
      <w:r>
        <w:t xml:space="preserve">4. Watchlist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盘前(08:29)</w:t>
            </w:r>
            <w:r>
              <w:t xml:space="preserve"> vs </w:t>
            </w:r>
            <w:r>
              <w:rPr>
                <w:rFonts w:hint="eastAsia"/>
              </w:rPr>
              <w:t xml:space="preserve">前收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公布后(08:29→最新)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较前收（盘中</w:t>
            </w:r>
            <w:r>
              <w:t xml:space="preserve"> 09:57 </w:t>
            </w:r>
            <w:r>
              <w:rPr>
                <w:rFonts w:hint="eastAsia"/>
              </w:rPr>
              <w:t xml:space="preserve">ET）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NVDA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-1.60%</w:t>
            </w:r>
          </w:p>
        </w:tc>
        <w:tc>
          <w:tcPr/>
          <w:p>
            <w:pPr>
              <w:pStyle w:val="Compact"/>
            </w:pPr>
            <w:r>
              <w:t xml:space="preserve">-2.03%</w:t>
            </w:r>
          </w:p>
        </w:tc>
        <w:tc>
          <w:tcPr/>
          <w:p>
            <w:pPr>
              <w:pStyle w:val="Compact"/>
            </w:pPr>
            <w:r>
              <w:t xml:space="preserve">-3.60%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-4.20%</w:t>
            </w:r>
          </w:p>
        </w:tc>
        <w:tc>
          <w:tcPr/>
          <w:p>
            <w:pPr>
              <w:pStyle w:val="Compact"/>
            </w:pPr>
            <w:r>
              <w:t xml:space="preserve">-0.97%</w:t>
            </w:r>
          </w:p>
        </w:tc>
        <w:tc>
          <w:tcPr/>
          <w:p>
            <w:pPr>
              <w:pStyle w:val="Compact"/>
            </w:pPr>
            <w:r>
              <w:t xml:space="preserve">-5.13%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TSM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-2.38%</w:t>
            </w:r>
          </w:p>
        </w:tc>
        <w:tc>
          <w:tcPr/>
          <w:p>
            <w:pPr>
              <w:pStyle w:val="Compact"/>
            </w:pPr>
            <w:r>
              <w:t xml:space="preserve">-2.78%</w:t>
            </w:r>
          </w:p>
        </w:tc>
        <w:tc>
          <w:tcPr/>
          <w:p>
            <w:pPr>
              <w:pStyle w:val="Compact"/>
            </w:pPr>
            <w:r>
              <w:t xml:space="preserve">-5.10%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AVGO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-1.46%</w:t>
            </w:r>
          </w:p>
        </w:tc>
        <w:tc>
          <w:tcPr/>
          <w:p>
            <w:pPr>
              <w:pStyle w:val="Compact"/>
            </w:pPr>
            <w:r>
              <w:t xml:space="preserve">-1.73%</w:t>
            </w:r>
          </w:p>
        </w:tc>
        <w:tc>
          <w:tcPr/>
          <w:p>
            <w:pPr>
              <w:pStyle w:val="Compact"/>
            </w:pPr>
            <w:r>
              <w:t xml:space="preserve">-3.17%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-3.28%</w:t>
            </w:r>
          </w:p>
        </w:tc>
        <w:tc>
          <w:tcPr/>
          <w:p>
            <w:pPr>
              <w:pStyle w:val="Compact"/>
            </w:pPr>
            <w:r>
              <w:t xml:space="preserve">-0.86%</w:t>
            </w:r>
          </w:p>
        </w:tc>
        <w:tc>
          <w:tcPr/>
          <w:p>
            <w:pPr>
              <w:pStyle w:val="Compact"/>
            </w:pPr>
            <w:r>
              <w:t xml:space="preserve">-4.12%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-2.97%</w:t>
            </w:r>
          </w:p>
        </w:tc>
        <w:tc>
          <w:tcPr/>
          <w:p>
            <w:pPr>
              <w:pStyle w:val="Compact"/>
            </w:pPr>
            <w:r>
              <w:t xml:space="preserve">-3.86%</w:t>
            </w:r>
          </w:p>
        </w:tc>
        <w:tc>
          <w:tcPr/>
          <w:p>
            <w:pPr>
              <w:pStyle w:val="Compact"/>
            </w:pPr>
            <w:r>
              <w:t xml:space="preserve">-6.71%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MRVL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-4.04%</w:t>
            </w:r>
          </w:p>
        </w:tc>
        <w:tc>
          <w:tcPr/>
          <w:p>
            <w:pPr>
              <w:pStyle w:val="Compact"/>
            </w:pPr>
            <w:r>
              <w:t xml:space="preserve">-2.97%</w:t>
            </w:r>
          </w:p>
        </w:tc>
        <w:tc>
          <w:tcPr/>
          <w:p>
            <w:pPr>
              <w:pStyle w:val="Compact"/>
            </w:pPr>
            <w:r>
              <w:t xml:space="preserve">-6.89%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-4.36%</w:t>
            </w:r>
          </w:p>
        </w:tc>
        <w:tc>
          <w:tcPr/>
          <w:p>
            <w:pPr>
              <w:pStyle w:val="Compact"/>
            </w:pPr>
            <w:r>
              <w:t xml:space="preserve">-6.07%</w:t>
            </w:r>
          </w:p>
        </w:tc>
        <w:tc>
          <w:tcPr/>
          <w:p>
            <w:pPr>
              <w:pStyle w:val="Compact"/>
            </w:pPr>
            <w:r>
              <w:t xml:space="preserve">-10.17%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CIEN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-4.53%</w:t>
            </w:r>
          </w:p>
        </w:tc>
        <w:tc>
          <w:tcPr/>
          <w:p>
            <w:pPr>
              <w:pStyle w:val="Compact"/>
            </w:pPr>
            <w:r>
              <w:t xml:space="preserve">-2.41%</w:t>
            </w:r>
          </w:p>
        </w:tc>
        <w:tc>
          <w:tcPr/>
          <w:p>
            <w:pPr>
              <w:pStyle w:val="Compact"/>
            </w:pPr>
            <w:r>
              <w:t xml:space="preserve">-6.84%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COHR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-4.00%</w:t>
            </w:r>
          </w:p>
        </w:tc>
        <w:tc>
          <w:tcPr/>
          <w:p>
            <w:pPr>
              <w:pStyle w:val="Compact"/>
            </w:pPr>
            <w:r>
              <w:t xml:space="preserve">-5.94%</w:t>
            </w:r>
          </w:p>
        </w:tc>
        <w:tc>
          <w:tcPr/>
          <w:p>
            <w:pPr>
              <w:pStyle w:val="Compact"/>
            </w:pPr>
            <w:r>
              <w:t xml:space="preserve">-9.70%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CRWV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-1.78%</w:t>
            </w:r>
          </w:p>
        </w:tc>
        <w:tc>
          <w:tcPr/>
          <w:p>
            <w:pPr>
              <w:pStyle w:val="Compact"/>
            </w:pPr>
            <w:r>
              <w:t xml:space="preserve">-7.38%</w:t>
            </w:r>
          </w:p>
        </w:tc>
        <w:tc>
          <w:tcPr/>
          <w:p>
            <w:pPr>
              <w:pStyle w:val="Compact"/>
            </w:pPr>
            <w:r>
              <w:t xml:space="preserve">-9.03%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PLTR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-2.58%</w:t>
            </w:r>
          </w:p>
        </w:tc>
        <w:tc>
          <w:tcPr/>
          <w:p>
            <w:pPr>
              <w:pStyle w:val="Compact"/>
            </w:pPr>
            <w:r>
              <w:t xml:space="preserve">-1.42%</w:t>
            </w:r>
          </w:p>
        </w:tc>
        <w:tc>
          <w:tcPr/>
          <w:p>
            <w:pPr>
              <w:pStyle w:val="Compact"/>
            </w:pPr>
            <w:r>
              <w:t xml:space="preserve">-3.96%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RKLB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-9.24%</w:t>
            </w:r>
          </w:p>
        </w:tc>
        <w:tc>
          <w:tcPr/>
          <w:p>
            <w:pPr>
              <w:pStyle w:val="Compact"/>
            </w:pPr>
            <w:r>
              <w:t xml:space="preserve">-6.66%</w:t>
            </w:r>
          </w:p>
        </w:tc>
        <w:tc>
          <w:tcPr/>
          <w:p>
            <w:pPr>
              <w:pStyle w:val="Compact"/>
            </w:pPr>
            <w:r>
              <w:t xml:space="preserve">-15.29%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CRWD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-2.51%</w:t>
            </w:r>
          </w:p>
        </w:tc>
        <w:tc>
          <w:tcPr/>
          <w:p>
            <w:pPr>
              <w:pStyle w:val="Compact"/>
            </w:pPr>
            <w:r>
              <w:t xml:space="preserve">-0.34%</w:t>
            </w:r>
          </w:p>
        </w:tc>
        <w:tc>
          <w:tcPr/>
          <w:p>
            <w:pPr>
              <w:pStyle w:val="Compact"/>
            </w:pPr>
            <w:r>
              <w:t xml:space="preserve">-2.84%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AAPL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+0.61%</w:t>
            </w:r>
          </w:p>
        </w:tc>
        <w:tc>
          <w:tcPr/>
          <w:p>
            <w:pPr>
              <w:pStyle w:val="Compact"/>
            </w:pPr>
            <w:r>
              <w:t xml:space="preserve">+0.34%</w:t>
            </w:r>
          </w:p>
        </w:tc>
        <w:tc>
          <w:tcPr/>
          <w:p>
            <w:pPr>
              <w:pStyle w:val="Compact"/>
            </w:pPr>
            <w:r>
              <w:t xml:space="preserve">+0.95%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TSLA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-1.35%</w:t>
            </w:r>
          </w:p>
        </w:tc>
        <w:tc>
          <w:tcPr/>
          <w:p>
            <w:pPr>
              <w:pStyle w:val="Compact"/>
            </w:pPr>
            <w:r>
              <w:t xml:space="preserve">-1.71%</w:t>
            </w:r>
          </w:p>
        </w:tc>
        <w:tc>
          <w:tcPr/>
          <w:p>
            <w:pPr>
              <w:pStyle w:val="Compact"/>
            </w:pPr>
            <w:r>
              <w:t xml:space="preserve">-3.04%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CCL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+0.15%</w:t>
            </w:r>
          </w:p>
        </w:tc>
        <w:tc>
          <w:tcPr/>
          <w:p>
            <w:pPr>
              <w:pStyle w:val="Compact"/>
            </w:pPr>
            <w:r>
              <w:t xml:space="preserve">-0.40%</w:t>
            </w:r>
          </w:p>
        </w:tc>
        <w:tc>
          <w:tcPr/>
          <w:p>
            <w:pPr>
              <w:pStyle w:val="Compact"/>
            </w:pPr>
            <w:r>
              <w:t xml:space="preserve">-0.25%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AMZN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-1.53%</w:t>
            </w:r>
          </w:p>
        </w:tc>
        <w:tc>
          <w:tcPr/>
          <w:p>
            <w:pPr>
              <w:pStyle w:val="Compact"/>
            </w:pPr>
            <w:r>
              <w:t xml:space="preserve">-0.24%</w:t>
            </w:r>
          </w:p>
        </w:tc>
        <w:tc>
          <w:tcPr/>
          <w:p>
            <w:pPr>
              <w:pStyle w:val="Compact"/>
            </w:pPr>
            <w:r>
              <w:t xml:space="preserve">-1.77%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+2.77%</w:t>
            </w:r>
          </w:p>
        </w:tc>
        <w:tc>
          <w:tcPr/>
          <w:p>
            <w:pPr>
              <w:pStyle w:val="Compact"/>
            </w:pPr>
            <w:r>
              <w:t xml:space="preserve">+1.36%</w:t>
            </w:r>
          </w:p>
        </w:tc>
        <w:tc>
          <w:tcPr/>
          <w:p>
            <w:pPr>
              <w:pStyle w:val="Compact"/>
            </w:pPr>
            <w:r>
              <w:t xml:space="preserve">+4.17%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+1.28%</w:t>
            </w:r>
          </w:p>
        </w:tc>
        <w:tc>
          <w:tcPr/>
          <w:p>
            <w:pPr>
              <w:pStyle w:val="Compact"/>
            </w:pPr>
            <w:r>
              <w:t xml:space="preserve">+1.10%</w:t>
            </w:r>
          </w:p>
        </w:tc>
        <w:tc>
          <w:tcPr/>
          <w:p>
            <w:pPr>
              <w:pStyle w:val="Compact"/>
            </w:pPr>
            <w:r>
              <w:t xml:space="preserve">+2.40%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+1.72%</w:t>
            </w:r>
          </w:p>
        </w:tc>
        <w:tc>
          <w:tcPr/>
          <w:p>
            <w:pPr>
              <w:pStyle w:val="Compact"/>
            </w:pPr>
            <w:r>
              <w:t xml:space="preserve">+2.03%</w:t>
            </w:r>
          </w:p>
        </w:tc>
        <w:tc>
          <w:tcPr/>
          <w:p>
            <w:pPr>
              <w:pStyle w:val="Compact"/>
            </w:pPr>
            <w:r>
              <w:t xml:space="preserve">+3.79%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+1.33%</w:t>
            </w:r>
          </w:p>
        </w:tc>
        <w:tc>
          <w:tcPr/>
          <w:p>
            <w:pPr>
              <w:pStyle w:val="Compact"/>
            </w:pPr>
            <w:r>
              <w:t xml:space="preserve">-0.33%</w:t>
            </w:r>
          </w:p>
        </w:tc>
        <w:tc>
          <w:tcPr/>
          <w:p>
            <w:pPr>
              <w:pStyle w:val="Compact"/>
            </w:pPr>
            <w:r>
              <w:t xml:space="preserve">+0.99%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XRT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+0.14%</w:t>
            </w:r>
          </w:p>
        </w:tc>
        <w:tc>
          <w:tcPr/>
          <w:p>
            <w:pPr>
              <w:pStyle w:val="Compact"/>
            </w:pPr>
            <w:r>
              <w:t xml:space="preserve">+2.42%</w:t>
            </w:r>
          </w:p>
        </w:tc>
        <w:tc>
          <w:tcPr/>
          <w:p>
            <w:pPr>
              <w:pStyle w:val="Compact"/>
            </w:pPr>
            <w:r>
              <w:t xml:space="preserve">+2.57%</w:t>
            </w:r>
          </w:p>
        </w:tc>
      </w:tr>
    </w:tbl>
    <w:bookmarkEnd w:id="13"/>
    <w:bookmarkStart w:id="38" w:name="calibration-brier-lower-better"/>
    <w:p>
      <w:pPr>
        <w:pStyle w:val="Heading2"/>
      </w:pPr>
      <w:r>
        <w:t xml:space="preserve">5. Calibration (Brier, lower = better)</w:t>
      </w:r>
    </w:p>
    <w:p>
      <w:pPr>
        <w:pStyle w:val="FirstParagraph"/>
      </w:pPr>
      <w:r>
        <w:t xml:space="preserve">OS locked 1.005 | base rate 0.724 | uniform 0.667. Base-rate source: </w:t>
      </w:r>
      <w:r>
        <w:rPr>
          <w:rFonts w:hint="eastAsia"/>
        </w:rPr>
        <w:t xml:space="preserve">锁定事前书：FRED</w:t>
      </w:r>
      <w:r>
        <w:t xml:space="preserve"> RSAFS </w:t>
      </w:r>
      <w:r>
        <w:rPr>
          <w:rFonts w:hint="eastAsia"/>
        </w:rPr>
        <w:t xml:space="preserve">过去</w:t>
      </w:r>
      <w:r>
        <w:t xml:space="preserve"> 36 </w:t>
      </w:r>
      <w:r>
        <w:rPr>
          <w:rFonts w:hint="eastAsia"/>
        </w:rPr>
        <w:t xml:space="preserve">个月总额环比（≤0.0</w:t>
      </w:r>
      <w:r>
        <w:t xml:space="preserve"> / 0.1–0.6 / </w:t>
      </w:r>
      <w:r>
        <w:rPr>
          <w:rFonts w:hint="eastAsia"/>
        </w:rPr>
        <w:t xml:space="preserve">≥0.7）.</w:t>
      </w:r>
      <w:r>
        <w:t xml:space="preserve"> </w:t>
      </w:r>
      <w:r>
        <w:t xml:space="preserve">## 6. Chain post-mortem, steelman, what to watch</w:t>
      </w:r>
      <w:r>
        <w:t xml:space="preserve"> </w:t>
      </w:r>
      <w:r>
        <w:t xml:space="preserve">See the Chinese edition §4–6 (full reasoning). Source ledger and assumption register as in ZH §8–9.</w:t>
      </w:r>
      <w:r>
        <w:t xml:space="preserve"> </w:t>
      </w:r>
      <w:r>
        <w:t xml:space="preserve">## Charts</w:t>
      </w:r>
      <w:r>
        <w:t xml:space="preserve"> </w:t>
      </w:r>
      <w:r>
        <w:drawing>
          <wp:inline>
            <wp:extent cx="5334000" cy="3000374"/>
            <wp:effectExtent b="0" l="0" r="0" t="0"/>
            <wp:docPr descr="01_expectation_gap" title="" id="15" name="Picture"/>
            <a:graphic>
              <a:graphicData uri="http://schemas.openxmlformats.org/drawingml/2006/picture">
                <pic:pic>
                  <pic:nvPicPr>
                    <pic:cNvPr descr="images/01_expectation_g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2_components" title="" id="18" name="Picture"/>
            <a:graphic>
              <a:graphicData uri="http://schemas.openxmlformats.org/drawingml/2006/picture">
                <pic:pic>
                  <pic:nvPicPr>
                    <pic:cNvPr descr="images/02_component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3_rates_path" title="" id="21" name="Picture"/>
            <a:graphic>
              <a:graphicData uri="http://schemas.openxmlformats.org/drawingml/2006/picture">
                <pic:pic>
                  <pic:nvPicPr>
                    <pic:cNvPr descr="images/03_rates_path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4_kalshi_path" title="" id="24" name="Picture"/>
            <a:graphic>
              <a:graphicData uri="http://schemas.openxmlformats.org/drawingml/2006/picture">
                <pic:pic>
                  <pic:nvPicPr>
                    <pic:cNvPr descr="images/04_kalshi_path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5_watchlist_movers" title="" id="27" name="Picture"/>
            <a:graphic>
              <a:graphicData uri="http://schemas.openxmlformats.org/drawingml/2006/picture">
                <pic:pic>
                  <pic:nvPicPr>
                    <pic:cNvPr descr="images/05_watchlist_mover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6_calibration_brier" title="" id="30" name="Picture"/>
            <a:graphic>
              <a:graphicData uri="http://schemas.openxmlformats.org/drawingml/2006/picture">
                <pic:pic>
                  <pic:nvPicPr>
                    <pic:cNvPr descr="images/06_calibration_brie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7_chain_postmortem" title="" id="33" name="Picture"/>
            <a:graphic>
              <a:graphicData uri="http://schemas.openxmlformats.org/drawingml/2006/picture">
                <pic:pic>
                  <pic:nvPicPr>
                    <pic:cNvPr descr="images/07_chain_postmortem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8_reaction_decomposition" title="" id="36" name="Picture"/>
            <a:graphic>
              <a:graphicData uri="http://schemas.openxmlformats.org/drawingml/2006/picture">
                <pic:pic>
                  <pic:nvPicPr>
                    <pic:cNvPr descr="images/08_reaction_decompositi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2026-10-15T13:57:20Z</dcterms:created>
  <dcterms:modified xsi:type="dcterms:W3CDTF">2026-10-15T13:57:20Z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