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92f146fc4f25058d5dbb38bb8df6f24d7d9a23"/>
    <w:p>
      <w:pPr>
        <w:pStyle w:val="Heading1"/>
      </w:pPr>
      <w:r>
        <w:t xml:space="preserve">COHR Coherent Corp.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Coherent Corp.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$289.98；距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-32.5%。主题：Optical</w:t>
      </w:r>
      <w:r>
        <w:t xml:space="preserve"> transceivers / lasers / materials </w:t>
      </w:r>
      <w:r>
        <w:rPr>
          <w:rFonts w:hint="eastAsia"/>
        </w:rPr>
        <w:t xml:space="preserve">光模块/激光/材料。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54.1%，一致预期</w:t>
      </w:r>
      <w:r>
        <w:t xml:space="preserve"> </w:t>
      </w:r>
      <w:r>
        <w:rPr>
          <w:rFonts w:hint="eastAsia"/>
        </w:rPr>
        <w:t xml:space="preserve">38.8%；三情景价值</w:t>
      </w:r>
      <w:r>
        <w:t xml:space="preserve"> $42/$163/$336。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直至公司确认）；盯：数通收入、毛利率、InP产能、净负债。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transceivers / lasers / materials </w:t>
      </w:r>
      <w:r>
        <w:rPr>
          <w:rFonts w:hint="eastAsia"/>
        </w:rPr>
        <w:t xml:space="preserve">光模块/激光/材料。持有者在乎的是：Coherent是垂直整合的光模块+激光器厂，受益于800G/1.6T与CPO；重整资产(剥离非核心)与提升毛利是重估关键。注意：最新FCF为负(数据期间)。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54.1%，一致预期</w:t>
      </w:r>
      <w:r>
        <w:t xml:space="preserve"> </w:t>
      </w:r>
      <w:r>
        <w:rPr>
          <w:rFonts w:hint="eastAsia"/>
        </w:rPr>
        <w:t xml:space="preserve">38.8%——市场定价比分析师更乐观。跑率/静态</w:t>
      </w:r>
      <w:r>
        <w:t xml:space="preserve"> P/E </w:t>
      </w:r>
      <w:r>
        <w:rPr>
          <w:rFonts w:hint="eastAsia"/>
        </w:rPr>
        <w:t xml:space="preserve">70.4×、前瞻</w:t>
      </w:r>
      <w:r>
        <w:t xml:space="preserve"> P/E </w:t>
      </w:r>
      <w:r>
        <w:rPr>
          <w:rFonts w:hint="eastAsia"/>
        </w:rPr>
        <w:t xml:space="preserve">20.6×（Yahoo）。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33.7%）→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38.5%）→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断点：6-inch</w:t>
      </w:r>
      <w:r>
        <w:t xml:space="preserve"> InP capacity, DSP supply, 1.6T </w:t>
      </w:r>
      <w:r>
        <w:rPr>
          <w:rFonts w:hint="eastAsia"/>
        </w:rPr>
        <w:t xml:space="preserve">ramp｜6寸InP产能、DSP供应、1.6T爬坡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Datacom growth below peers; GM </w:t>
      </w:r>
      <w:r>
        <w:rPr>
          <w:rFonts w:hint="eastAsia"/>
        </w:rPr>
        <w:t xml:space="preserve">stalls｜数通增速落后同业；毛利停滞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折现。COHR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38.5%；收入同比</w:t>
      </w:r>
      <w:r>
        <w:t xml:space="preserve"> </w:t>
      </w:r>
      <w:r>
        <w:rPr>
          <w:rFonts w:hint="eastAsia"/>
        </w:rPr>
        <w:t xml:space="preserve">33.7%。新闻多数改变的是现金流预期，而非折现率。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竞争者：Innolight,</w:t>
      </w:r>
      <w:r>
        <w:t xml:space="preserve"> Eoptolink, Lumentum, Fabrinet-built </w:t>
      </w:r>
      <w:r>
        <w:rPr>
          <w:rFonts w:hint="eastAsia"/>
        </w:rPr>
        <w:t xml:space="preserve">modules｜中际旭创、新易盛、Lumentum。客户：NVDA,</w:t>
      </w:r>
      <w:r>
        <w:t xml:space="preserve"> hyperscalers, telecom OEMs, industrial </w:t>
      </w:r>
      <w:r>
        <w:rPr>
          <w:rFonts w:hint="eastAsia"/>
        </w:rPr>
        <w:t xml:space="preserve">users｜NVDA、云厂、电信设备商、工业客户。若</w:t>
      </w:r>
      <w:r>
        <w:t xml:space="preserve"> COHR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看多会错，如果：Chinese</w:t>
      </w:r>
      <w:r>
        <w:t xml:space="preserve"> module price competition; industrial weakness; </w:t>
      </w:r>
      <w:r>
        <w:rPr>
          <w:rFonts w:hint="eastAsia"/>
        </w:rPr>
        <w:t xml:space="preserve">debt｜中国模块价格战；工业疲弱；负债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54.1%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38.8%；近几季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+11% / 2025-12 +7% / 2026-03 +1% / 2026-06 +8%。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买方押：1.6T</w:t>
      </w:r>
      <w:r>
        <w:t xml:space="preserve"> share gains; InP capacity doubles; GM </w:t>
      </w:r>
      <w:r>
        <w:rPr>
          <w:rFonts w:hint="eastAsia"/>
        </w:rPr>
        <w:t xml:space="preserve">&gt;40%｜1.6T份额提升；InP产能倍增；毛利率&gt;40%。卖方押：Chinese</w:t>
      </w:r>
      <w:r>
        <w:t xml:space="preserve"> module price competition; industrial weakness; </w:t>
      </w:r>
      <w:r>
        <w:rPr>
          <w:rFonts w:hint="eastAsia"/>
        </w:rPr>
        <w:t xml:space="preserve">debt｜中国模块价格战；工业疲弱；负债。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年以来最大的三次回撤：2021-02→2023-05</w:t>
      </w:r>
      <w:r>
        <w:t xml:space="preserve">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</w:t>
      </w:r>
      <w:r>
        <w:rPr>
          <w:rFonts w:hint="eastAsia"/>
        </w:rPr>
        <w:t xml:space="preserve">-63%；中位数</w:t>
      </w:r>
      <w:r>
        <w:t xml:space="preserve"> </w:t>
      </w:r>
      <w:r>
        <w:rPr>
          <w:rFonts w:hint="eastAsia"/>
        </w:rPr>
        <w:t xml:space="preserve">-68%。当前距高点</w:t>
      </w:r>
      <w:r>
        <w:t xml:space="preserve"> </w:t>
      </w:r>
      <w:r>
        <w:rPr>
          <w:rFonts w:hint="eastAsia"/>
        </w:rPr>
        <w:t xml:space="preserve">-32.5%。毛利率区间：30.9%–38.5%（本快照内）。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Coherent是垂直整合的光模块+激光器厂，受益于800G/1.6T与CPO；重整资产(剥离非核心)与提升毛利是重估关键。注意：最新FCF为负(数据期间)。（HYPOTHESIS）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$289.98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$163 </w:t>
      </w:r>
      <w:r>
        <w:rPr>
          <w:rFonts w:hint="eastAsia"/>
        </w:rPr>
        <w:t xml:space="preserve">78.1%，安全边际取决于假设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2021-02→2023-05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-63%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$289.98 vs Base </w:t>
            </w:r>
            <w:r>
              <w:rPr>
                <w:rFonts w:hint="eastAsia"/>
              </w:rPr>
              <w:t xml:space="preserve">价值</w:t>
            </w:r>
            <w:r>
              <w:t xml:space="preserve"> $163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54.1% vs </w:t>
            </w:r>
            <w:r>
              <w:rPr>
                <w:rFonts w:hint="eastAsia"/>
              </w:rPr>
              <w:t xml:space="preserve">一致预期</w:t>
            </w:r>
            <w:r>
              <w:t xml:space="preserve"> 38.8%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35.7% → 38.5%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+33.7%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-32.5%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54.1%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33.7%）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38.5%）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Datacom revenue, GM%, InP capacity, net </w:t>
            </w:r>
            <w:r>
              <w:rPr>
                <w:rFonts w:hint="eastAsia"/>
              </w:rPr>
              <w:t xml:space="preserve">debt｜数通收入、毛利率、InP产能、净负债</w:t>
            </w:r>
          </w:p>
        </w:tc>
        <w:tc>
          <w:tcPr/>
          <w:p>
            <w:pPr>
              <w:pStyle w:val="Compact"/>
            </w:pPr>
            <w:r>
              <w:t xml:space="preserve">Datacom growth below peers; GM </w:t>
            </w:r>
            <w:r>
              <w:rPr>
                <w:rFonts w:hint="eastAsia"/>
              </w:rPr>
              <w:t xml:space="preserve">stalls｜数通增速落后同业；毛利停滞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54.1%、共识</w:t>
      </w:r>
      <w:r>
        <w:t xml:space="preserve"> </w:t>
      </w:r>
      <w:r>
        <w:rPr>
          <w:rFonts w:hint="eastAsia"/>
        </w:rPr>
        <w:t xml:space="preserve">38.8%。如果公司下季’超预期’但只超共识不超隐含，股价可能怎样？为什么？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38.5%，区间</w:t>
      </w:r>
      <w:r>
        <w:t xml:space="preserve"> </w:t>
      </w:r>
      <w:r>
        <w:rPr>
          <w:rFonts w:hint="eastAsia"/>
        </w:rPr>
        <w:t xml:space="preserve">30.9%–38.5%。用’第一性原理’说明利润率下降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-68%，当前</w:t>
      </w:r>
      <w:r>
        <w:t xml:space="preserve"> </w:t>
      </w:r>
      <w:r>
        <w:rPr>
          <w:rFonts w:hint="eastAsia"/>
        </w:rPr>
        <w:t xml:space="preserve">-32.5%。为什么’已经跌了很多’不能单独作为买入理由？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COHR thinking-first edition. Price $289.98; -32.5% from 2026-06-02 high. Reverse DCF: price implies ~54.1% Y1 growth vs consensus 38.8%. Scenario values $42/$163/$336; WACC 13.2%. Base rates: largest drawdowns since 2008: 2021-02→2023-05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-63%. Evidence weighting 6:7 (bull:bear). Falsifiers: Datacom growth below peers; GM </w:t>
      </w:r>
      <w:r>
        <w:rPr>
          <w:rFonts w:hint="eastAsia"/>
        </w:rPr>
        <w:t xml:space="preserve">stalls｜数通增速落后同业；毛利停滞.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2026-10-14T00:04:08Z</dcterms:created>
  <dcterms:modified xsi:type="dcterms:W3CDTF">2026-10-14T00:04:08Z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