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4-0758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$88.64。我们的Base模型认为每股价值约</w:t>
      </w:r>
      <w:r>
        <w:t xml:space="preserve"> </w:t>
      </w:r>
      <w:r>
        <w:rPr>
          <w:rFonts w:hint="eastAsia"/>
        </w:rPr>
        <w:t xml:space="preserve">$22（-74.8%）。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68.9%。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$22 / Bull </w:t>
      </w:r>
      <w:r>
        <w:rPr>
          <w:rFonts w:hint="eastAsia"/>
        </w:rPr>
        <w:t xml:space="preserve">$41；概率加权</w:t>
      </w:r>
      <w:r>
        <w:t xml:space="preserve"> $23。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9e85ff5bc2d92ee386965aa8ed4a894a4081dd"/>
    <w:p>
      <w:pPr>
        <w:pStyle w:val="Heading1"/>
      </w:pPr>
      <w:r>
        <w:t xml:space="preserve">MXL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$88.64; our Base model value ≈ $22 (-74.8%).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13.2%.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68.9%.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$22 / Bull $41; weighted $23.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2026-10-14T00:00:58Z</dcterms:created>
  <dcterms:modified xsi:type="dcterms:W3CDTF">2026-10-14T00:00:58Z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