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066ef3393d446171157c1a10b56ac625bba5be"/>
    <w:p>
      <w:pPr>
        <w:pStyle w:val="Heading1"/>
      </w:pPr>
      <w:r>
        <w:t xml:space="preserve">TSM Taiwan Semiconductor Manufacturing Company Limited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Taiwan Semiconductor Manufacturing Company Limited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$445.12；距</w:t>
      </w:r>
      <w:r>
        <w:t xml:space="preserve"> 2026-10-05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-8.5%。主题：Foundry</w:t>
      </w:r>
      <w:r>
        <w:t xml:space="preserve"> / Advanced packaging </w:t>
      </w:r>
      <w:r>
        <w:rPr>
          <w:rFonts w:hint="eastAsia"/>
        </w:rPr>
        <w:t xml:space="preserve">晶圆代工/先进封装。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43.0%，一致预期</w:t>
      </w:r>
      <w:r>
        <w:t xml:space="preserve"> </w:t>
      </w:r>
      <w:r>
        <w:rPr>
          <w:rFonts w:hint="eastAsia"/>
        </w:rPr>
        <w:t xml:space="preserve">35.9%；三情景价值</w:t>
      </w:r>
      <w:r>
        <w:t xml:space="preserve"> $134/$350/$654。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2026-10-15（TENTATIVE</w:t>
      </w:r>
      <w:r>
        <w:t xml:space="preserve"> </w:t>
      </w:r>
      <w:r>
        <w:rPr>
          <w:rFonts w:hint="eastAsia"/>
        </w:rPr>
        <w:t xml:space="preserve">直至公司确认）；盯：月营收、毛利率、HPC占比、先进制程占比、Capex、CoWoS产能。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Foundry / Advanced packaging </w:t>
      </w:r>
      <w:r>
        <w:rPr>
          <w:rFonts w:hint="eastAsia"/>
        </w:rPr>
        <w:t xml:space="preserve">晶圆代工/先进封装。持有者在乎的是：台积电是AI芯片无可替代的制造瓶颈，拥有定价权；主要风险是地缘政治与海外厂毛利稀释。财报以新台币计。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43.0%，一致预期</w:t>
      </w:r>
      <w:r>
        <w:t xml:space="preserve"> </w:t>
      </w:r>
      <w:r>
        <w:rPr>
          <w:rFonts w:hint="eastAsia"/>
        </w:rPr>
        <w:t xml:space="preserve">35.9%——市场定价比分析师更乐观。跑率/静态</w:t>
      </w:r>
      <w:r>
        <w:t xml:space="preserve"> P/E </w:t>
      </w:r>
      <w:r>
        <w:rPr>
          <w:rFonts w:hint="eastAsia"/>
        </w:rPr>
        <w:t xml:space="preserve">32.3×、前瞻</w:t>
      </w:r>
      <w:r>
        <w:t xml:space="preserve"> P/E </w:t>
      </w:r>
      <w:r>
        <w:rPr>
          <w:rFonts w:hint="eastAsia"/>
        </w:rPr>
        <w:t xml:space="preserve">19.9×（Yahoo）。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36.0%）→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67.7%）→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断点：CoWoS/SoIC</w:t>
      </w:r>
      <w:r>
        <w:t xml:space="preserve"> capacity, N2/A16 ramp, overseas fab cost (Arizona/Japan), Taiwan geopolitics, </w:t>
      </w:r>
      <w:r>
        <w:rPr>
          <w:rFonts w:hint="eastAsia"/>
        </w:rPr>
        <w:t xml:space="preserve">power/water｜CoWoS/SoIC产能、N2/A16爬坡、海外厂成本、台海地缘、电力水资源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折现。TSM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11.4%；最新季度毛利率</w:t>
      </w:r>
      <w:r>
        <w:t xml:space="preserve"> </w:t>
      </w:r>
      <w:r>
        <w:rPr>
          <w:rFonts w:hint="eastAsia"/>
        </w:rPr>
        <w:t xml:space="preserve">67.7%；收入同比</w:t>
      </w:r>
      <w:r>
        <w:t xml:space="preserve"> </w:t>
      </w:r>
      <w:r>
        <w:rPr>
          <w:rFonts w:hint="eastAsia"/>
        </w:rPr>
        <w:t xml:space="preserve">36.0%。新闻多数改变的是现金流预期，而非折现率。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竞争者：Samsung</w:t>
      </w:r>
      <w:r>
        <w:t xml:space="preserve"> Foundry, Intel Foundry (18A/14A), </w:t>
      </w:r>
      <w:r>
        <w:rPr>
          <w:rFonts w:hint="eastAsia"/>
        </w:rPr>
        <w:t xml:space="preserve">SMIC｜三星代工、英特尔代工、中芯国际。客户：NVDA,</w:t>
      </w:r>
      <w:r>
        <w:t xml:space="preserve"> Apple, AMD, Broadcom, Qualcomm, MediaTek, Marvell, hyperscaler </w:t>
      </w:r>
      <w:r>
        <w:rPr>
          <w:rFonts w:hint="eastAsia"/>
        </w:rPr>
        <w:t xml:space="preserve">ASICs｜NVDA、苹果、AMD、博通、高通、联发科、Marvell、云厂ASIC。若</w:t>
      </w:r>
      <w:r>
        <w:t xml:space="preserve"> TSM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看多会错，如果：Geopolitical</w:t>
      </w:r>
      <w:r>
        <w:t xml:space="preserve">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43.0%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35.9%；近几季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+11% / 2025-12 +6% / 2026-03 +5% / 2026-06 +11%。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买方押：N2</w:t>
      </w:r>
      <w:r>
        <w:t xml:space="preserve"> ramp + price increases; CoWoS doubling; AI accelerators &gt;30% </w:t>
      </w:r>
      <w:r>
        <w:rPr>
          <w:rFonts w:hint="eastAsia"/>
        </w:rPr>
        <w:t xml:space="preserve">revenue｜N2爬坡+涨价；CoWoS倍增；AI加速器占比超30%。卖方押：Geopolitical</w:t>
      </w:r>
      <w:r>
        <w:t xml:space="preserve"> shock, US tariffs on chips, Intel/Samsung regain </w:t>
      </w:r>
      <w:r>
        <w:rPr>
          <w:rFonts w:hint="eastAsia"/>
        </w:rPr>
        <w:t xml:space="preserve">share｜地缘冲击、美国芯片关税、英特尔/三星夺回份额。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年以来最大的三次回撤：2022-01→2022-11</w:t>
      </w:r>
      <w:r>
        <w:t xml:space="preserve"> </w:t>
      </w:r>
      <w:r>
        <w:rPr>
          <w:rFonts w:hint="eastAsia"/>
        </w:rPr>
        <w:t xml:space="preserve">-56%；2008-06→2008-11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</w:t>
      </w:r>
      <w:r>
        <w:rPr>
          <w:rFonts w:hint="eastAsia"/>
        </w:rPr>
        <w:t xml:space="preserve">-37%；中位数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-8.5%。毛利率区间：54.4%–67.7%（本快照内）。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台积电是AI芯片无可替代的制造瓶颈，拥有定价权；主要风险是地缘政治与海外厂毛利稀释。财报以新台币计。（HYPOTHESIS）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$445.12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$350 </w:t>
      </w:r>
      <w:r>
        <w:rPr>
          <w:rFonts w:hint="eastAsia"/>
        </w:rPr>
        <w:t xml:space="preserve">27.3%，安全边际取决于假设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2022-01→2022-11 </w:t>
      </w:r>
      <w:r>
        <w:rPr>
          <w:rFonts w:hint="eastAsia"/>
        </w:rPr>
        <w:t xml:space="preserve">-56%；2008-06→2008-11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-37%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$445.12 vs Base </w:t>
            </w:r>
            <w:r>
              <w:rPr>
                <w:rFonts w:hint="eastAsia"/>
              </w:rPr>
              <w:t xml:space="preserve">价值</w:t>
            </w:r>
            <w:r>
              <w:t xml:space="preserve"> $350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43.0% vs </w:t>
            </w:r>
            <w:r>
              <w:rPr>
                <w:rFonts w:hint="eastAsia"/>
              </w:rPr>
              <w:t xml:space="preserve">一致预期</w:t>
            </w:r>
            <w:r>
              <w:t xml:space="preserve"> 35.9%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58.6% → 67.7%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+5% → +11%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+36.0%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-8.5%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43.0%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36.0%）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67.7%）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Monthly revenue, GM%, HPC mix, N3/N2 mix, capex, CoWoS </w:t>
            </w:r>
            <w:r>
              <w:rPr>
                <w:rFonts w:hint="eastAsia"/>
              </w:rPr>
              <w:t xml:space="preserve">capacity｜月营收、毛利率、HPC占比、先进制程占比、Capex、CoWoS产能</w:t>
            </w:r>
          </w:p>
        </w:tc>
        <w:tc>
          <w:tcPr/>
          <w:p>
            <w:pPr>
              <w:pStyle w:val="Compact"/>
            </w:pPr>
            <w:r>
              <w:t xml:space="preserve">GM falls below long-term target band; monthly revenue y/y decelerates sharply; capex </w:t>
            </w:r>
            <w:r>
              <w:rPr>
                <w:rFonts w:hint="eastAsia"/>
              </w:rPr>
              <w:t xml:space="preserve">cut｜毛利率跌破长期目标区间；月营收同比骤降；Capex下修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43.0%、共识</w:t>
      </w:r>
      <w:r>
        <w:t xml:space="preserve"> </w:t>
      </w:r>
      <w:r>
        <w:rPr>
          <w:rFonts w:hint="eastAsia"/>
        </w:rPr>
        <w:t xml:space="preserve">35.9%。如果公司下季’超预期’但只超共识不超隐含，股价可能怎样？为什么？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67.7%，区间</w:t>
      </w:r>
      <w:r>
        <w:t xml:space="preserve"> </w:t>
      </w:r>
      <w:r>
        <w:rPr>
          <w:rFonts w:hint="eastAsia"/>
        </w:rPr>
        <w:t xml:space="preserve">54.4%–67.7%。用’第一性原理’说明利润率下降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-8.5%。为什么’已经跌了很多’不能单独作为买入理由？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15-财报后填写"/>
    <w:p>
      <w:pPr>
        <w:pStyle w:val="Heading2"/>
      </w:pPr>
      <w:r>
        <w:rPr>
          <w:rFonts w:hint="eastAsia"/>
        </w:rPr>
        <w:t xml:space="preserve">八、事后推理复盘（2026-10-15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TSM thinking-first edition. Price $445.12; -8.5% from 2026-10-05 high. Reverse DCF: price implies ~43.0% Y1 growth vs consensus 35.9%. Scenario values $134/$350/$654; WACC 11.4%. Base rates: largest drawdowns since 2008: 2022-01→2022-11 </w:t>
      </w:r>
      <w:r>
        <w:rPr>
          <w:rFonts w:hint="eastAsia"/>
        </w:rPr>
        <w:t xml:space="preserve">-56%；2008-06→2008-11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-37%. Evidence weighting 6:7 (bull:bear).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2026-10-14T00:03:49Z</dcterms:created>
  <dcterms:modified xsi:type="dcterms:W3CDTF">2026-10-14T00:03:49Z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