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8dea9c528b6092769851b8bbef3eef856e678d"/>
    <w:p>
      <w:pPr>
        <w:pStyle w:val="Heading1"/>
      </w:pPr>
      <w:r>
        <w:rPr>
          <w:rFonts w:hint="eastAsia"/>
        </w:rPr>
        <w:t xml:space="preserve">台积电</w:t>
      </w:r>
      <w:r>
        <w:t xml:space="preserve"> TSM Q3 2026 </w:t>
      </w:r>
      <w:r>
        <w:rPr>
          <w:rFonts w:hint="eastAsia"/>
        </w:rPr>
        <w:t xml:space="preserve">发布前事件书｜TSMC</w:t>
      </w:r>
      <w:r>
        <w:t xml:space="preserve"> Earnings Pre-Event Book</w:t>
      </w:r>
    </w:p>
    <w:p>
      <w:pPr>
        <w:pStyle w:val="BlockText"/>
      </w:pPr>
      <w:r>
        <w:rPr>
          <w:rFonts w:hint="eastAsia"/>
          <w:b/>
          <w:bCs/>
        </w:rPr>
        <w:t xml:space="preserve">电话会：2026-10-15（周四）14:00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台湾时间</w:t>
      </w:r>
      <w:r>
        <w:rPr>
          <w:b/>
          <w:bCs/>
        </w:rPr>
        <w:t xml:space="preserve"> = 14:00 </w:t>
      </w:r>
      <w:r>
        <w:rPr>
          <w:rFonts w:hint="eastAsia"/>
          <w:b/>
          <w:bCs/>
        </w:rPr>
        <w:t xml:space="preserve">新加坡时间</w:t>
      </w:r>
      <w:r>
        <w:rPr>
          <w:b/>
          <w:bCs/>
        </w:rPr>
        <w:t xml:space="preserve"> (SGT) = 02:00 ET</w:t>
      </w:r>
      <w:r>
        <w:rPr>
          <w:rFonts w:hint="eastAsia"/>
        </w:rPr>
        <w:t xml:space="preserve">｜状态</w:t>
      </w:r>
      <w:r>
        <w:t xml:space="preserve"> </w:t>
      </w:r>
      <w:r>
        <w:rPr>
          <w:b/>
          <w:bCs/>
        </w:rPr>
        <w:t xml:space="preserve">CONFIRMED</w:t>
      </w:r>
      <w:r>
        <w:rPr>
          <w:rFonts w:hint="eastAsia"/>
        </w:rPr>
        <w:t xml:space="preserve">（</w:t>
      </w:r>
      <w:hyperlink r:id="rId9">
        <w:r>
          <w:rPr>
            <w:rStyle w:val="Hyperlink"/>
          </w:rPr>
          <w:t xml:space="preserve">TSMC IR Q3 2026</w:t>
        </w:r>
      </w:hyperlink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静默期</w:t>
      </w:r>
      <w:r>
        <w:t xml:space="preserve"> Quiet </w:t>
      </w:r>
      <w:r>
        <w:rPr>
          <w:rFonts w:hint="eastAsia"/>
        </w:rPr>
        <w:t xml:space="preserve">period：10/5–10/14（电话会前结束）。快照锁定</w:t>
      </w:r>
      <w:r>
        <w:t xml:space="preserve"> </w:t>
      </w:r>
      <w:r>
        <w:rPr>
          <w:b/>
          <w:bCs/>
        </w:rPr>
        <w:t xml:space="preserve">2026-10-14 18:06 SGT</w:t>
      </w:r>
      <w:r>
        <w:rPr>
          <w:rFonts w:hint="eastAsia"/>
        </w:rPr>
        <w:t xml:space="preserve">（v20261014-1806）。非投资建议。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明天下午</w:t>
      </w:r>
      <w:r>
        <w:t xml:space="preserve"> 14:00 SGT </w:t>
      </w:r>
      <w:r>
        <w:rPr>
          <w:rFonts w:hint="eastAsia"/>
        </w:rPr>
        <w:t xml:space="preserve">台积电开季报电话会（已确认，不再是</w:t>
      </w:r>
      <w:r>
        <w:t xml:space="preserve"> Yahoo </w:t>
      </w:r>
      <w:r>
        <w:rPr>
          <w:rFonts w:hint="eastAsia"/>
        </w:rPr>
        <w:t xml:space="preserve">上的待定）。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数字看收入/毛利率是否落在指引内；更重要的是</w:t>
      </w:r>
      <w:r>
        <w:t xml:space="preserve"> CoWoS/N2 </w:t>
      </w:r>
      <w:r>
        <w:rPr>
          <w:rFonts w:hint="eastAsia"/>
        </w:rPr>
        <w:t xml:space="preserve">与</w:t>
      </w:r>
      <w:r>
        <w:t xml:space="preserve"> 2027 </w:t>
      </w:r>
      <w:r>
        <w:rPr>
          <w:rFonts w:hint="eastAsia"/>
        </w:rPr>
        <w:t xml:space="preserve">资本开支口径——会牵动</w:t>
      </w:r>
      <w:r>
        <w:t xml:space="preserve"> NVDA、AVGO、AMAT、KLAC、MU </w:t>
      </w:r>
      <w:r>
        <w:rPr>
          <w:rFonts w:hint="eastAsia"/>
        </w:rPr>
        <w:t xml:space="preserve">等观察名单。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对照：指引收入</w:t>
      </w:r>
      <w:r>
        <w:t xml:space="preserve"> </w:t>
      </w:r>
      <w:r>
        <w:rPr>
          <w:rFonts w:hint="eastAsia"/>
        </w:rPr>
        <w:t xml:space="preserve">$44.6–45.8bn、毛利率</w:t>
      </w:r>
      <w:r>
        <w:t xml:space="preserve"> </w:t>
      </w:r>
      <w:r>
        <w:rPr>
          <w:rFonts w:hint="eastAsia"/>
        </w:rPr>
        <w:t xml:space="preserve">65–67%；共识</w:t>
      </w:r>
      <w:r>
        <w:t xml:space="preserve"> EPS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$4.52、收入约合</w:t>
      </w:r>
      <w:r>
        <w:t xml:space="preserve"> </w:t>
      </w:r>
      <w:r>
        <w:rPr>
          <w:rFonts w:hint="eastAsia"/>
        </w:rPr>
        <w:t xml:space="preserve">$45.6bn。先填清单再听点评。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</w:t>
            </w:r>
            <w:r>
              <w:t xml:space="preserve"> + </w:t>
            </w:r>
            <w:r>
              <w:rPr>
                <w:rFonts w:hint="eastAsia"/>
              </w:rPr>
              <w:t xml:space="preserve">情景表</w:t>
            </w:r>
            <w:r>
              <w:t xml:space="preserve"> + </w:t>
            </w:r>
            <w:r>
              <w:rPr>
                <w:rFonts w:hint="eastAsia"/>
              </w:rPr>
              <w:t xml:space="preserve">第4节清单。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第1–3、5节</w:t>
            </w:r>
            <w:r>
              <w:t xml:space="preserve"> + </w:t>
            </w:r>
            <w:r>
              <w:rPr>
                <w:rFonts w:hint="eastAsia"/>
              </w:rPr>
              <w:t xml:space="preserve">图01/02。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全文教学</w:t>
            </w:r>
            <w:r>
              <w:t xml:space="preserve"> + </w:t>
            </w:r>
            <w:r>
              <w:rPr>
                <w:rFonts w:hint="eastAsia"/>
              </w:rPr>
              <w:t xml:space="preserve">证伪</w:t>
            </w:r>
            <w:r>
              <w:t xml:space="preserve"> + </w:t>
            </w:r>
            <w:r>
              <w:rPr>
                <w:rFonts w:hint="eastAsia"/>
              </w:rPr>
              <w:t xml:space="preserve">同伴归因。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公司指引</w:t>
      </w:r>
      <w:r>
        <w:rPr>
          <w:b/>
          <w:bCs/>
        </w:rPr>
        <w:t xml:space="preserve"> (FACT / Management Guidance)</w:t>
      </w:r>
      <w:r>
        <w:rPr>
          <w:rFonts w:hint="eastAsia"/>
        </w:rPr>
        <w:t xml:space="preserve">：Q3</w:t>
      </w:r>
      <w:r>
        <w:t xml:space="preserve"> </w:t>
      </w:r>
      <w:r>
        <w:rPr>
          <w:rFonts w:hint="eastAsia"/>
        </w:rPr>
        <w:t xml:space="preserve">收入</w:t>
      </w:r>
      <w:r>
        <w:t xml:space="preserve"> </w:t>
      </w:r>
      <w:r>
        <w:rPr>
          <w:b/>
          <w:bCs/>
        </w:rPr>
        <w:t xml:space="preserve">US$44.6–45.8bn</w:t>
      </w:r>
      <w:r>
        <w:rPr>
          <w:rFonts w:hint="eastAsia"/>
        </w:rPr>
        <w:t xml:space="preserve">（FX</w:t>
      </w:r>
      <w:r>
        <w:t xml:space="preserve"> </w:t>
      </w:r>
      <w:r>
        <w:rPr>
          <w:rFonts w:hint="eastAsia"/>
        </w:rPr>
        <w:t xml:space="preserve">假设</w:t>
      </w:r>
      <w:r>
        <w:t xml:space="preserve"> USD/NTD</w:t>
      </w:r>
      <w:r>
        <w:t xml:space="preserve"> </w:t>
      </w:r>
      <w:r>
        <w:rPr>
          <w:b/>
          <w:bCs/>
        </w:rPr>
        <w:t xml:space="preserve">32.0</w:t>
      </w:r>
      <w:r>
        <w:rPr>
          <w:rFonts w:hint="eastAsia"/>
        </w:rPr>
        <w:t xml:space="preserve">），毛利率</w:t>
      </w:r>
      <w:r>
        <w:t xml:space="preserve"> </w:t>
      </w:r>
      <w:r>
        <w:rPr>
          <w:b/>
          <w:bCs/>
        </w:rPr>
        <w:t xml:space="preserve">65.0–67.0%</w:t>
      </w:r>
      <w:r>
        <w:rPr>
          <w:rFonts w:hint="eastAsia"/>
        </w:rPr>
        <w:t xml:space="preserve">，营业利率</w:t>
      </w:r>
      <w:r>
        <w:t xml:space="preserve"> </w:t>
      </w:r>
      <w:r>
        <w:rPr>
          <w:b/>
          <w:bCs/>
        </w:rPr>
        <w:t xml:space="preserve">56.0–58.0%</w:t>
      </w:r>
      <w:r>
        <w:t xml:space="preserve">。Q2 </w:t>
      </w:r>
      <w:r>
        <w:rPr>
          <w:rFonts w:hint="eastAsia"/>
        </w:rPr>
        <w:t xml:space="preserve">实际：收入</w:t>
      </w:r>
      <w:r>
        <w:t xml:space="preserve"> 40.20bn、GM 67.7%、OM 60.3%。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(MARKET EXP, Yahoo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co_TSM.json</w:t>
      </w:r>
      <w:r>
        <w:rPr>
          <w:b/>
          <w:bCs/>
        </w:rPr>
        <w:t xml:space="preserve"> </w:t>
      </w:r>
      <w:r>
        <w:rPr>
          <w:b/>
          <w:bCs/>
        </w:rPr>
        <w:t xml:space="preserve">2026-10-14)</w:t>
      </w:r>
      <w:r>
        <w:rPr>
          <w:rFonts w:hint="eastAsia"/>
        </w:rPr>
        <w:t xml:space="preserve">：EPS</w:t>
      </w:r>
      <w:r>
        <w:t xml:space="preserve"> ADR </w:t>
      </w:r>
      <w:r>
        <w:rPr>
          <w:rFonts w:hint="eastAsia"/>
        </w:rPr>
        <w:t xml:space="preserve">均</w:t>
      </w:r>
      <w:r>
        <w:t xml:space="preserve"> </w:t>
      </w:r>
      <w:r>
        <w:rPr>
          <w:b/>
          <w:bCs/>
        </w:rPr>
        <w:t xml:space="preserve">$4.524</w:t>
      </w:r>
      <w:r>
        <w:rPr>
          <w:rFonts w:hint="eastAsia"/>
        </w:rPr>
        <w:t xml:space="preserve">（低</w:t>
      </w:r>
      <w:r>
        <w:t xml:space="preserve"> 4.26 /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4.85，9</w:t>
      </w:r>
      <w:r>
        <w:t xml:space="preserve"> </w:t>
      </w:r>
      <w:r>
        <w:rPr>
          <w:rFonts w:hint="eastAsia"/>
        </w:rPr>
        <w:t xml:space="preserve">位）；收入均</w:t>
      </w:r>
      <w:r>
        <w:t xml:space="preserve"> </w:t>
      </w:r>
      <w:r>
        <w:rPr>
          <w:b/>
          <w:bCs/>
        </w:rPr>
        <w:t xml:space="preserve">TWD 1.460T</w:t>
      </w:r>
      <w:r>
        <w:rPr>
          <w:rFonts w:hint="eastAsia"/>
        </w:rPr>
        <w:t xml:space="preserve">（28</w:t>
      </w:r>
      <w:r>
        <w:t xml:space="preserve"> </w:t>
      </w:r>
      <w:r>
        <w:rPr>
          <w:rFonts w:hint="eastAsia"/>
        </w:rPr>
        <w:t xml:space="preserve">位）≈</w:t>
      </w:r>
      <w:r>
        <w:t xml:space="preserve"> </w:t>
      </w:r>
      <w:r>
        <w:rPr>
          <w:b/>
          <w:bCs/>
        </w:rPr>
        <w:t xml:space="preserve">US$45.6bn @ 32</w:t>
      </w:r>
      <w:r>
        <w:rPr>
          <w:rFonts w:hint="eastAsia"/>
        </w:rPr>
        <w:t xml:space="preserve">（指引中枢附近）；同比增速约</w:t>
      </w:r>
      <w:r>
        <w:t xml:space="preserve"> </w:t>
      </w:r>
      <w:r>
        <w:rPr>
          <w:b/>
          <w:bCs/>
        </w:rPr>
        <w:t xml:space="preserve">47.5%</w:t>
      </w:r>
      <w:r>
        <w:t xml:space="preserve">。Year-ago EPS </w:t>
      </w:r>
      <w:r>
        <w:rPr>
          <w:rFonts w:hint="eastAsia"/>
        </w:rPr>
        <w:t xml:space="preserve">2.92。现价约</w:t>
      </w:r>
      <w:r>
        <w:t xml:space="preserve"> </w:t>
      </w:r>
      <w:r>
        <w:rPr>
          <w:b/>
          <w:bCs/>
        </w:rPr>
        <w:t xml:space="preserve">$445.12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交叉核对</w:t>
      </w:r>
      <w:r>
        <w:rPr>
          <w:rFonts w:hint="eastAsia"/>
        </w:rPr>
        <w:t xml:space="preserve">：MarketBeat/Yahoo</w:t>
      </w:r>
      <w:r>
        <w:t xml:space="preserve"> </w:t>
      </w:r>
      <w:r>
        <w:rPr>
          <w:rFonts w:hint="eastAsia"/>
        </w:rPr>
        <w:t xml:space="preserve">量级</w:t>
      </w:r>
      <w:r>
        <w:t xml:space="preserve"> EPS </w:t>
      </w:r>
      <w:r>
        <w:rPr>
          <w:rFonts w:hint="eastAsia"/>
        </w:rPr>
        <w:t xml:space="preserve">~4.45–4.52、收入</w:t>
      </w:r>
      <w:r>
        <w:t xml:space="preserve"> </w:t>
      </w:r>
      <w:r>
        <w:rPr>
          <w:rFonts w:hint="eastAsia"/>
        </w:rPr>
        <w:t xml:space="preserve">~$45.3–45.7bn（MARKET</w:t>
      </w:r>
      <w:r>
        <w:t xml:space="preserve"> EXP </w:t>
      </w:r>
      <w:r>
        <w:rPr>
          <w:rFonts w:hint="eastAsia"/>
        </w:rPr>
        <w:t xml:space="preserve">cross-check）。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(HYPOTHESIS)</w:t>
      </w:r>
      <w:r>
        <w:rPr>
          <w:rFonts w:hint="eastAsia"/>
        </w:rPr>
        <w:t xml:space="preserve">：收入</w:t>
      </w:r>
      <w:r>
        <w:t xml:space="preserve"> </w:t>
      </w:r>
      <w:r>
        <w:rPr>
          <w:b/>
          <w:bCs/>
        </w:rPr>
        <w:t xml:space="preserve">$45.2bn</w:t>
      </w:r>
      <w:r>
        <w:rPr>
          <w:rFonts w:hint="eastAsia"/>
        </w:rPr>
        <w:t xml:space="preserve">（略低于中枢）、GM</w:t>
      </w:r>
      <w:r>
        <w:t xml:space="preserve"> </w:t>
      </w:r>
      <w:r>
        <w:rPr>
          <w:b/>
          <w:bCs/>
        </w:rPr>
        <w:t xml:space="preserve">66%</w:t>
      </w:r>
      <w:r>
        <w:t xml:space="preserve">、OM</w:t>
      </w:r>
      <w:r>
        <w:t xml:space="preserve"> </w:t>
      </w:r>
      <w:r>
        <w:rPr>
          <w:b/>
          <w:bCs/>
        </w:rPr>
        <w:t xml:space="preserve">57%</w:t>
      </w:r>
      <w:r>
        <w:t xml:space="preserve">、EPS</w:t>
      </w:r>
      <w:r>
        <w:t xml:space="preserve"> </w:t>
      </w:r>
      <w:r>
        <w:rPr>
          <w:b/>
          <w:bCs/>
        </w:rPr>
        <w:t xml:space="preserve">$4.50</w:t>
      </w:r>
      <w:r>
        <w:rPr>
          <w:rFonts w:hint="eastAsia"/>
        </w:rPr>
        <w:t xml:space="preserve">；概率</w:t>
      </w:r>
      <w:r>
        <w:t xml:space="preserve"> Beat 30% / Inline 45% / Miss </w:t>
      </w:r>
      <w:r>
        <w:rPr>
          <w:rFonts w:hint="eastAsia"/>
        </w:rPr>
        <w:t xml:space="preserve">25%。UNCERTAINTY：无内部订单簿；信心来自指引与共识重合度。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为何重要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晶圆与先进封装定价锚；读穿至</w:t>
      </w:r>
      <w:r>
        <w:t xml:space="preserve"> </w:t>
      </w:r>
      <w:r>
        <w:rPr>
          <w:rFonts w:hint="eastAsia"/>
        </w:rPr>
        <w:t xml:space="preserve">GPU/ASIC、设备、HBM。叠加同日</w:t>
      </w:r>
      <w:r>
        <w:t xml:space="preserve"> </w:t>
      </w:r>
      <w:r>
        <w:rPr>
          <w:rFonts w:hint="eastAsia"/>
        </w:rPr>
        <w:t xml:space="preserve">PPI（20:30</w:t>
      </w:r>
      <w:r>
        <w:t xml:space="preserve"> </w:t>
      </w:r>
      <w:r>
        <w:rPr>
          <w:rFonts w:hint="eastAsia"/>
        </w:rPr>
        <w:t xml:space="preserve">SGT）情绪。</w:t>
      </w:r>
    </w:p>
    <w:bookmarkEnd w:id="10"/>
    <w:bookmarkStart w:id="11" w:name="预期差-expectation-gap"/>
    <w:p>
      <w:pPr>
        <w:pStyle w:val="Heading2"/>
      </w:pPr>
      <w:r>
        <w:t xml:space="preserve">2. </w:t>
      </w:r>
      <w:r>
        <w:rPr>
          <w:rFonts w:hint="eastAsia"/>
        </w:rPr>
        <w:t xml:space="preserve">预期差</w:t>
      </w:r>
      <w:r>
        <w:t xml:space="preserve"> Expectation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Q2 </w:t>
            </w: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差（我们−共识/中枢）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  <w:r>
              <w:t xml:space="preserve"> USD bn</w:t>
            </w:r>
          </w:p>
        </w:tc>
        <w:tc>
          <w:tcPr/>
          <w:p>
            <w:pPr>
              <w:pStyle w:val="Compact"/>
            </w:pPr>
            <w:r>
              <w:t xml:space="preserve">40.20</w:t>
            </w:r>
          </w:p>
        </w:tc>
        <w:tc>
          <w:tcPr/>
          <w:p>
            <w:pPr>
              <w:pStyle w:val="Compact"/>
            </w:pPr>
            <w:r>
              <w:t xml:space="preserve">44.6–45.8</w:t>
            </w:r>
          </w:p>
        </w:tc>
        <w:tc>
          <w:tcPr/>
          <w:p>
            <w:pPr>
              <w:pStyle w:val="Compact"/>
            </w:pPr>
            <w:r>
              <w:t xml:space="preserve">~45.6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  <w:r>
              <w:t xml:space="preserve"> %</w:t>
            </w:r>
          </w:p>
        </w:tc>
        <w:tc>
          <w:tcPr/>
          <w:p>
            <w:pPr>
              <w:pStyle w:val="Compact"/>
            </w:pPr>
            <w:r>
              <w:t xml:space="preserve">67.7</w:t>
            </w:r>
          </w:p>
        </w:tc>
        <w:tc>
          <w:tcPr/>
          <w:p>
            <w:pPr>
              <w:pStyle w:val="Compact"/>
            </w:pPr>
            <w:r>
              <w:t xml:space="preserve">65–67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营业利率</w:t>
            </w:r>
            <w:r>
              <w:t xml:space="preserve"> %</w:t>
            </w:r>
          </w:p>
        </w:tc>
        <w:tc>
          <w:tcPr/>
          <w:p>
            <w:pPr>
              <w:pStyle w:val="Compact"/>
            </w:pPr>
            <w:r>
              <w:t xml:space="preserve">60.3</w:t>
            </w:r>
          </w:p>
        </w:tc>
        <w:tc>
          <w:tcPr/>
          <w:p>
            <w:pPr>
              <w:pStyle w:val="Compact"/>
            </w:pPr>
            <w:r>
              <w:t xml:space="preserve">56–58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ADR $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≈0</w:t>
            </w:r>
          </w:p>
        </w:tc>
      </w:tr>
    </w:tbl>
    <w:bookmarkEnd w:id="11"/>
    <w:bookmarkStart w:id="12" w:name="情景与反应路径-hypothesis"/>
    <w:p>
      <w:pPr>
        <w:pStyle w:val="Heading2"/>
      </w:pPr>
      <w:r>
        <w:t xml:space="preserve">3. </w:t>
      </w:r>
      <w:r>
        <w:rPr>
          <w:rFonts w:hint="eastAsia"/>
        </w:rPr>
        <w:t xml:space="preserve">情景与反应路径</w:t>
      </w:r>
      <w:r>
        <w:t xml:space="preserve">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NVDA/AVGO</w:t>
            </w:r>
          </w:p>
        </w:tc>
        <w:tc>
          <w:tcPr/>
          <w:p>
            <w:pPr>
              <w:pStyle w:val="Compact"/>
            </w:pPr>
            <w:r>
              <w:t xml:space="preserve">AMAT/KLAC</w:t>
            </w:r>
          </w:p>
        </w:tc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Rev≥45.8 </w:t>
            </w:r>
            <w:r>
              <w:rPr>
                <w:rFonts w:hint="eastAsia"/>
              </w:rPr>
              <w:t xml:space="preserve">或</w:t>
            </w:r>
            <w:r>
              <w:t xml:space="preserve"> GM≥67 + </w:t>
            </w:r>
            <w:r>
              <w:rPr>
                <w:rFonts w:hint="eastAsia"/>
              </w:rPr>
              <w:t xml:space="preserve">强点评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+3~+7%</w:t>
            </w:r>
          </w:p>
        </w:tc>
        <w:tc>
          <w:tcPr/>
          <w:p>
            <w:pPr>
              <w:pStyle w:val="Compact"/>
            </w:pPr>
            <w:r>
              <w:t xml:space="preserve">+2~+5%</w:t>
            </w:r>
          </w:p>
        </w:tc>
        <w:tc>
          <w:tcPr/>
          <w:p>
            <w:pPr>
              <w:pStyle w:val="Compact"/>
            </w:pPr>
            <w:r>
              <w:t xml:space="preserve">+2~+4%</w:t>
            </w:r>
          </w:p>
        </w:tc>
        <w:tc>
          <w:tcPr/>
          <w:p>
            <w:pPr>
              <w:pStyle w:val="Compact"/>
            </w:pPr>
            <w:r>
              <w:t xml:space="preserve">+1~+3%</w:t>
            </w:r>
          </w:p>
        </w:tc>
        <w:tc>
          <w:tcPr/>
          <w:p>
            <w:pPr>
              <w:pStyle w:val="Compact"/>
            </w:pPr>
            <w:r>
              <w:t xml:space="preserve">+2~+4%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指引内</w:t>
            </w:r>
            <w:r>
              <w:t xml:space="preserve"> + </w:t>
            </w:r>
            <w:r>
              <w:rPr>
                <w:rFonts w:hint="eastAsia"/>
              </w:rPr>
              <w:t xml:space="preserve">EPS~共识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±2%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CoWoS/N2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capex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  <w:tc>
          <w:tcPr/>
          <w:p>
            <w:pPr>
              <w:pStyle w:val="Compact"/>
            </w:pPr>
            <w:r>
              <w:t xml:space="preserve">±1.5%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</w:t>
            </w:r>
          </w:p>
        </w:tc>
        <w:tc>
          <w:tcPr/>
          <w:p>
            <w:pPr>
              <w:pStyle w:val="Compact"/>
            </w:pPr>
            <w:r>
              <w:t xml:space="preserve">Rev&lt;44.6 </w:t>
            </w:r>
            <w:r>
              <w:rPr>
                <w:rFonts w:hint="eastAsia"/>
              </w:rPr>
              <w:t xml:space="preserve">或</w:t>
            </w:r>
            <w:r>
              <w:t xml:space="preserve"> GM&lt;65 </w:t>
            </w:r>
            <w:r>
              <w:rPr>
                <w:rFonts w:hint="eastAsia"/>
              </w:rPr>
              <w:t xml:space="preserve">或指引下修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−4~−9%</w:t>
            </w:r>
          </w:p>
        </w:tc>
        <w:tc>
          <w:tcPr/>
          <w:p>
            <w:pPr>
              <w:pStyle w:val="Compact"/>
            </w:pPr>
            <w:r>
              <w:t xml:space="preserve">−2~−5%</w:t>
            </w:r>
          </w:p>
        </w:tc>
        <w:tc>
          <w:tcPr/>
          <w:p>
            <w:pPr>
              <w:pStyle w:val="Compact"/>
            </w:pPr>
            <w:r>
              <w:t xml:space="preserve">−2~−5%</w:t>
            </w:r>
          </w:p>
        </w:tc>
        <w:tc>
          <w:tcPr/>
          <w:p>
            <w:pPr>
              <w:pStyle w:val="Compact"/>
            </w:pPr>
            <w:r>
              <w:t xml:space="preserve">−1~−3%</w:t>
            </w:r>
          </w:p>
        </w:tc>
        <w:tc>
          <w:tcPr/>
          <w:p>
            <w:pPr>
              <w:pStyle w:val="Compact"/>
            </w:pPr>
            <w:r>
              <w:t xml:space="preserve">−2~−4%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INTC/QCOM/MRVL/ARM：叙事依赖「客户组合与竞争」点评，方向可能与</w:t>
      </w:r>
      <w:r>
        <w:t xml:space="preserve"> SOX </w:t>
      </w:r>
      <w:r>
        <w:rPr>
          <w:rFonts w:hint="eastAsia"/>
        </w:rPr>
        <w:t xml:space="preserve">不完全一致。</w:t>
      </w:r>
    </w:p>
    <w:bookmarkEnd w:id="12"/>
    <w:bookmarkStart w:id="13" w:name="电话会观察清单-live-call-checklist1400-sgt"/>
    <w:p>
      <w:pPr>
        <w:pStyle w:val="Heading2"/>
      </w:pPr>
      <w:r>
        <w:t xml:space="preserve">4. </w:t>
      </w:r>
      <w:r>
        <w:rPr>
          <w:rFonts w:hint="eastAsia"/>
        </w:rPr>
        <w:t xml:space="preserve">电话会观察清单</w:t>
      </w:r>
      <w:r>
        <w:t xml:space="preserve"> Live Call </w:t>
      </w:r>
      <w:r>
        <w:rPr>
          <w:rFonts w:hint="eastAsia"/>
        </w:rPr>
        <w:t xml:space="preserve">Checklist（14:00</w:t>
      </w:r>
      <w:r>
        <w:t xml:space="preserve"> </w:t>
      </w:r>
      <w:r>
        <w:rPr>
          <w:rFonts w:hint="eastAsia"/>
        </w:rPr>
        <w:t xml:space="preserve">SGT）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Beat/强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Miss/弱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  <w:r>
              <w:t xml:space="preserve"> USD</w:t>
            </w:r>
          </w:p>
        </w:tc>
        <w:tc>
          <w:tcPr/>
          <w:p>
            <w:pPr>
              <w:pStyle w:val="Compact"/>
            </w:pPr>
            <w:r>
              <w:t xml:space="preserve">≥45.8</w:t>
            </w:r>
          </w:p>
        </w:tc>
        <w:tc>
          <w:tcPr/>
          <w:p>
            <w:pPr>
              <w:pStyle w:val="Compact"/>
            </w:pPr>
            <w:r>
              <w:t xml:space="preserve">&lt;44.6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先看是否在指引内，再看中上沿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≥67</w:t>
            </w:r>
          </w:p>
        </w:tc>
        <w:tc>
          <w:tcPr/>
          <w:p>
            <w:pPr>
              <w:pStyle w:val="Compact"/>
            </w:pPr>
            <w:r>
              <w:t xml:space="preserve">&lt;65</w:t>
            </w:r>
          </w:p>
        </w:tc>
        <w:tc>
          <w:tcPr/>
          <w:p>
            <w:pPr>
              <w:pStyle w:val="Compact"/>
            </w:pPr>
            <w:r>
              <w:t xml:space="preserve">Q2 </w:t>
            </w:r>
            <w:r>
              <w:rPr>
                <w:rFonts w:hint="eastAsia"/>
              </w:rPr>
              <w:t xml:space="preserve">67.7%→指引下移，守住</w:t>
            </w:r>
            <w:r>
              <w:t xml:space="preserve"> 65 </w:t>
            </w:r>
            <w:r>
              <w:rPr>
                <w:rFonts w:hint="eastAsia"/>
              </w:rPr>
              <w:t xml:space="preserve">是底线叙事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下破</w:t>
            </w:r>
            <w:r>
              <w:t xml:space="preserve"> 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费用与折旧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EPS ADR</w:t>
            </w:r>
          </w:p>
        </w:tc>
        <w:tc>
          <w:tcPr/>
          <w:p>
            <w:pPr>
              <w:pStyle w:val="Compact"/>
            </w:pPr>
            <w:r>
              <w:t xml:space="preserve">&gt;4.60</w:t>
            </w:r>
          </w:p>
        </w:tc>
        <w:tc>
          <w:tcPr/>
          <w:p>
            <w:pPr>
              <w:pStyle w:val="Compact"/>
            </w:pPr>
            <w:r>
              <w:t xml:space="preserve">&lt;4.35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</w:t>
            </w:r>
            <w:r>
              <w:rPr>
                <w:rFonts w:hint="eastAsia"/>
              </w:rPr>
              <w:t xml:space="preserve">4.52；区间</w:t>
            </w:r>
            <w:r>
              <w:t xml:space="preserve"> 4.26–4.85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CoWoS/先进封装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产能紧、涨价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松动/推迟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常比</w:t>
            </w:r>
            <w:r>
              <w:t xml:space="preserve"> EPS </w:t>
            </w:r>
            <w:r>
              <w:rPr>
                <w:rFonts w:hint="eastAsia"/>
              </w:rPr>
              <w:t xml:space="preserve">更能带动同伴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N2 </w:t>
            </w:r>
            <w:r>
              <w:rPr>
                <w:rFonts w:hint="eastAsia"/>
              </w:rPr>
              <w:t xml:space="preserve">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客户/放量明确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长期倍数故事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2027 Capex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上调或结构偏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设备链</w:t>
            </w:r>
            <w:r>
              <w:t xml:space="preserve"> AMAT/KLAC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 vs </w:t>
            </w:r>
            <w:r>
              <w:rPr>
                <w:rFonts w:hint="eastAsia"/>
              </w:rPr>
              <w:t xml:space="preserve">手机/PC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强且手机稳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政策敏感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同伴背离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数字好但</w:t>
            </w:r>
            <w:r>
              <w:t xml:space="preserve"> SOX </w:t>
            </w:r>
            <w:r>
              <w:rPr>
                <w:rFonts w:hint="eastAsia"/>
              </w:rPr>
              <w:t xml:space="preserve">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仓位/PPI</w:t>
            </w:r>
            <w:r>
              <w:t xml:space="preserve"> </w:t>
            </w:r>
            <w:r>
              <w:rPr>
                <w:rFonts w:hint="eastAsia"/>
              </w:rPr>
              <w:t xml:space="preserve">情绪抢戏</w:t>
            </w:r>
          </w:p>
        </w:tc>
      </w:tr>
    </w:tbl>
    <w:bookmarkEnd w:id="13"/>
    <w:bookmarkStart w:id="14" w:name="受影响观察名单-affected-watchlist"/>
    <w:p>
      <w:pPr>
        <w:pStyle w:val="Heading2"/>
      </w:pPr>
      <w:r>
        <w:t xml:space="preserve">5. </w:t>
      </w:r>
      <w:r>
        <w:rPr>
          <w:rFonts w:hint="eastAsia"/>
        </w:rPr>
        <w:t xml:space="preserve">受影响观察名单</w:t>
      </w:r>
      <w:r>
        <w:t xml:space="preserve"> Affected Watchlist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主驱动</w:t>
      </w:r>
      <w:r>
        <w:rPr>
          <w:rFonts w:hint="eastAsia"/>
        </w:rPr>
        <w:t xml:space="preserve">：TSM（ADR）。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需求读穿</w:t>
      </w:r>
      <w:r>
        <w:rPr>
          <w:rFonts w:hint="eastAsia"/>
        </w:rPr>
        <w:t xml:space="preserve">：NVDA、AVGO、ARM、MRVL、QCOM。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设备</w:t>
      </w:r>
      <w:r>
        <w:rPr>
          <w:rFonts w:hint="eastAsia"/>
        </w:rPr>
        <w:t xml:space="preserve">：AMAT、KLAC（+</w:t>
      </w:r>
      <w:r>
        <w:t xml:space="preserve"> ASML </w:t>
      </w:r>
      <w:r>
        <w:rPr>
          <w:rFonts w:hint="eastAsia"/>
        </w:rPr>
        <w:t xml:space="preserve">同伴，非名单但相关）。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存储/HBM</w:t>
      </w:r>
      <w:r>
        <w:rPr>
          <w:rFonts w:hint="eastAsia"/>
        </w:rPr>
        <w:t xml:space="preserve">：MU。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竞争叙事</w:t>
      </w:r>
      <w:r>
        <w:rPr>
          <w:rFonts w:hint="eastAsia"/>
        </w:rPr>
        <w:t xml:space="preserve">：INTC。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宏观叠油</w:t>
      </w:r>
      <w:r>
        <w:rPr>
          <w:rFonts w:hint="eastAsia"/>
        </w:rPr>
        <w:t xml:space="preserve">：同日</w:t>
      </w:r>
      <w:r>
        <w:t xml:space="preserve"> PPI 20:30 </w:t>
      </w:r>
      <w:r>
        <w:rPr>
          <w:rFonts w:hint="eastAsia"/>
        </w:rPr>
        <w:t xml:space="preserve">SGT；若</w:t>
      </w:r>
      <w:r>
        <w:t xml:space="preserve"> Miss + PPI </w:t>
      </w:r>
      <w:r>
        <w:rPr>
          <w:rFonts w:hint="eastAsia"/>
        </w:rPr>
        <w:t xml:space="preserve">Hot，SOX</w:t>
      </w:r>
      <w:r>
        <w:t xml:space="preserve"> </w:t>
      </w:r>
      <w:r>
        <w:rPr>
          <w:rFonts w:hint="eastAsia"/>
        </w:rPr>
        <w:t xml:space="preserve">压力非对称放大（INFERENCE）。</w:t>
      </w:r>
    </w:p>
    <w:bookmarkEnd w:id="14"/>
    <w:bookmarkStart w:id="15" w:name="证伪-falsifiers"/>
    <w:p>
      <w:pPr>
        <w:pStyle w:val="Heading2"/>
      </w:pPr>
      <w:r>
        <w:t xml:space="preserve">6. </w:t>
      </w:r>
      <w:r>
        <w:rPr>
          <w:rFonts w:hint="eastAsia"/>
        </w:rPr>
        <w:t xml:space="preserve">证伪</w:t>
      </w:r>
      <w:r>
        <w:t xml:space="preserve"> Falsifiers</w:t>
      </w:r>
    </w:p>
    <w:p>
      <w:pPr>
        <w:pStyle w:val="Compact"/>
        <w:numPr>
          <w:ilvl w:val="0"/>
          <w:numId w:val="1004"/>
        </w:numPr>
      </w:pPr>
      <w:r>
        <w:t xml:space="preserve">Rev/GM Beat </w:t>
      </w:r>
      <w:r>
        <w:rPr>
          <w:rFonts w:hint="eastAsia"/>
        </w:rPr>
        <w:t xml:space="preserve">但股价跌</w:t>
      </w:r>
      <w:r>
        <w:t xml:space="preserve"> &gt;3% → </w:t>
      </w:r>
      <w:r>
        <w:rPr>
          <w:rFonts w:hint="eastAsia"/>
        </w:rPr>
        <w:t xml:space="preserve">指引或</w:t>
      </w:r>
      <w:r>
        <w:t xml:space="preserve"> CoWoS </w:t>
      </w:r>
      <w:r>
        <w:rPr>
          <w:rFonts w:hint="eastAsia"/>
        </w:rPr>
        <w:t xml:space="preserve">口径才是定价锚；上调「点评权重」。</w:t>
      </w:r>
    </w:p>
    <w:p>
      <w:pPr>
        <w:pStyle w:val="Compact"/>
        <w:numPr>
          <w:ilvl w:val="0"/>
          <w:numId w:val="1004"/>
        </w:numPr>
      </w:pPr>
      <w:r>
        <w:t xml:space="preserve">Miss </w:t>
      </w:r>
      <w:r>
        <w:rPr>
          <w:rFonts w:hint="eastAsia"/>
        </w:rPr>
        <w:t xml:space="preserve">但</w:t>
      </w:r>
      <w:r>
        <w:t xml:space="preserve"> SOX </w:t>
      </w:r>
      <w:r>
        <w:rPr>
          <w:rFonts w:hint="eastAsia"/>
        </w:rPr>
        <w:t xml:space="preserve">涨</w:t>
      </w:r>
      <w:r>
        <w:t xml:space="preserve"> → </w:t>
      </w:r>
      <w:r>
        <w:rPr>
          <w:rFonts w:hint="eastAsia"/>
        </w:rPr>
        <w:t xml:space="preserve">市场交易「坏消息出尽」或</w:t>
      </w:r>
      <w:r>
        <w:t xml:space="preserve"> </w:t>
      </w:r>
      <w:r>
        <w:rPr>
          <w:rFonts w:hint="eastAsia"/>
        </w:rPr>
        <w:t xml:space="preserve">PPI/宏观主导。</w:t>
      </w:r>
    </w:p>
    <w:p>
      <w:pPr>
        <w:pStyle w:val="Compact"/>
        <w:numPr>
          <w:ilvl w:val="0"/>
          <w:numId w:val="1004"/>
        </w:numPr>
      </w:pPr>
      <w:r>
        <w:t xml:space="preserve">Capex </w:t>
      </w:r>
      <w:r>
        <w:rPr>
          <w:rFonts w:hint="eastAsia"/>
        </w:rPr>
        <w:t xml:space="preserve">上调但</w:t>
      </w:r>
      <w:r>
        <w:t xml:space="preserve"> AMAT/KLAC </w:t>
      </w:r>
      <w:r>
        <w:rPr>
          <w:rFonts w:hint="eastAsia"/>
        </w:rPr>
        <w:t xml:space="preserve">跌</w:t>
      </w:r>
      <w:r>
        <w:t xml:space="preserve"> → </w:t>
      </w:r>
      <w:r>
        <w:rPr>
          <w:rFonts w:hint="eastAsia"/>
        </w:rPr>
        <w:t xml:space="preserve">市场解读为回报率担忧而非量增。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我们的</w:t>
      </w:r>
      <w:r>
        <w:t xml:space="preserve"> $45.2bn / 66% GM </w:t>
      </w:r>
      <w:r>
        <w:rPr>
          <w:rFonts w:hint="eastAsia"/>
        </w:rPr>
        <w:t xml:space="preserve">落在情景外</w:t>
      </w:r>
      <w:r>
        <w:t xml:space="preserve"> → Fundamental Forecast </w:t>
      </w:r>
      <w:r>
        <w:rPr>
          <w:rFonts w:hint="eastAsia"/>
        </w:rPr>
        <w:t xml:space="preserve">误差。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中国占比表述引发独立抛售而基本面数字正常</w:t>
      </w:r>
      <w:r>
        <w:t xml:space="preserve"> → </w:t>
      </w:r>
      <w:r>
        <w:rPr>
          <w:rFonts w:hint="eastAsia"/>
        </w:rPr>
        <w:t xml:space="preserve">政治溢价主导，模型需加</w:t>
      </w:r>
      <w:r>
        <w:t xml:space="preserve"> geopolitics </w:t>
      </w:r>
      <w:r>
        <w:rPr>
          <w:rFonts w:hint="eastAsia"/>
        </w:rPr>
        <w:t xml:space="preserve">项。</w:t>
      </w:r>
    </w:p>
    <w:bookmarkEnd w:id="15"/>
    <w:bookmarkStart w:id="16" w:name="思维教程"/>
    <w:p>
      <w:pPr>
        <w:pStyle w:val="Heading2"/>
      </w:pPr>
      <w:r>
        <w:t xml:space="preserve">7. </w:t>
      </w:r>
      <w:r>
        <w:rPr>
          <w:rFonts w:hint="eastAsia"/>
        </w:rPr>
        <w:t xml:space="preserve">思维教程</w:t>
      </w:r>
    </w:p>
    <w:p>
      <w:pPr>
        <w:pStyle w:val="FirstParagraph"/>
      </w:pPr>
      <w:r>
        <w:rPr>
          <w:rFonts w:hint="eastAsia"/>
        </w:rPr>
        <w:t xml:space="preserve">看什么（Rev/GM</w:t>
      </w:r>
      <w:r>
        <w:t xml:space="preserve"> + </w:t>
      </w:r>
      <w:r>
        <w:rPr>
          <w:rFonts w:hint="eastAsia"/>
        </w:rPr>
        <w:t xml:space="preserve">CoWoS/N2/Capex）→</w:t>
      </w:r>
      <w:r>
        <w:t xml:space="preserve"> </w:t>
      </w:r>
      <w:r>
        <w:rPr>
          <w:rFonts w:hint="eastAsia"/>
        </w:rPr>
        <w:t xml:space="preserve">为什么（AI</w:t>
      </w:r>
      <w:r>
        <w:t xml:space="preserve"> </w:t>
      </w:r>
      <w:r>
        <w:rPr>
          <w:rFonts w:hint="eastAsia"/>
        </w:rPr>
        <w:t xml:space="preserve">链锚）→</w:t>
      </w:r>
      <w:r>
        <w:t xml:space="preserve"> </w:t>
      </w:r>
      <w:r>
        <w:rPr>
          <w:rFonts w:hint="eastAsia"/>
        </w:rPr>
        <w:t xml:space="preserve">证据（指引区间与共识重合）→</w:t>
      </w:r>
      <w:r>
        <w:t xml:space="preserve"> </w:t>
      </w:r>
      <w:r>
        <w:rPr>
          <w:rFonts w:hint="eastAsia"/>
        </w:rPr>
        <w:t xml:space="preserve">传导（同伴读穿）→</w:t>
      </w:r>
      <w:r>
        <w:t xml:space="preserve"> </w:t>
      </w:r>
      <w:r>
        <w:rPr>
          <w:rFonts w:hint="eastAsia"/>
        </w:rPr>
        <w:t xml:space="preserve">其他解释（PPI、仓位、汇率）→</w:t>
      </w:r>
      <w:r>
        <w:t xml:space="preserve"> </w:t>
      </w:r>
      <w:r>
        <w:rPr>
          <w:rFonts w:hint="eastAsia"/>
        </w:rPr>
        <w:t xml:space="preserve">证伪</w:t>
      </w:r>
      <w:r>
        <w:t xml:space="preserve"> → </w:t>
      </w:r>
      <w:r>
        <w:rPr>
          <w:rFonts w:hint="eastAsia"/>
        </w:rPr>
        <w:t xml:space="preserve">下一步（会后模型更新、FOMC</w:t>
      </w:r>
      <w:r>
        <w:t xml:space="preserve"> </w:t>
      </w:r>
      <w:r>
        <w:rPr>
          <w:rFonts w:hint="eastAsia"/>
        </w:rPr>
        <w:t xml:space="preserve">前风险偏好）。</w:t>
      </w:r>
    </w:p>
    <w:bookmarkEnd w:id="16"/>
    <w:bookmarkStart w:id="17" w:name="最终自我质疑"/>
    <w:p>
      <w:pPr>
        <w:pStyle w:val="Heading2"/>
      </w:pPr>
      <w:r>
        <w:t xml:space="preserve">8. </w:t>
      </w:r>
      <w:r>
        <w:rPr>
          <w:rFonts w:hint="eastAsia"/>
        </w:rPr>
        <w:t xml:space="preserve">最终自我质疑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共识已在指引中枢，Beat</w:t>
      </w:r>
      <w:r>
        <w:t xml:space="preserve"> </w:t>
      </w:r>
      <w:r>
        <w:rPr>
          <w:rFonts w:hint="eastAsia"/>
        </w:rPr>
        <w:t xml:space="preserve">空间是否被高估？</w:t>
      </w:r>
    </w:p>
    <w:p>
      <w:pPr>
        <w:pStyle w:val="Compact"/>
        <w:numPr>
          <w:ilvl w:val="0"/>
          <w:numId w:val="1005"/>
        </w:numPr>
      </w:pPr>
      <w:r>
        <w:t xml:space="preserve">GM </w:t>
      </w:r>
      <w:r>
        <w:rPr>
          <w:rFonts w:hint="eastAsia"/>
        </w:rPr>
        <w:t xml:space="preserve">指引低于</w:t>
      </w:r>
      <w:r>
        <w:t xml:space="preserve"> </w:t>
      </w:r>
      <w:r>
        <w:rPr>
          <w:rFonts w:hint="eastAsia"/>
        </w:rPr>
        <w:t xml:space="preserve">Q2，是保守还是结构恶化？若只是折旧节奏，市场可能过度惩罚。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静默期刚结束，信息真空后的首个口径波动可能被放大（ΔPositioning）。</w:t>
      </w:r>
    </w:p>
    <w:bookmarkEnd w:id="17"/>
    <w:bookmarkStart w:id="18" w:name="source-ledger"/>
    <w:p>
      <w:pPr>
        <w:pStyle w:val="Heading2"/>
      </w:pPr>
      <w:r>
        <w:t xml:space="preserve">9.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investor.tsmc.com/…/2026/q3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2026-10-14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CONFIRMED；指引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Yahoo co_TSM.json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EPS/Rev </w:t>
            </w:r>
            <w:r>
              <w:rPr>
                <w:rFonts w:hint="eastAsia"/>
              </w:rPr>
              <w:t xml:space="preserve">共识、现价</w:t>
            </w:r>
          </w:p>
        </w:tc>
        <w:tc>
          <w:tcPr/>
          <w:p>
            <w:pPr>
              <w:pStyle w:val="Compact"/>
            </w:pPr>
            <w:r>
              <w:t xml:space="preserve">MARKET EXP /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MarketBeat/Yahoo cross-check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任务说明</w:t>
            </w:r>
          </w:p>
        </w:tc>
        <w:tc>
          <w:tcPr/>
          <w:p>
            <w:pPr>
              <w:pStyle w:val="Compact"/>
            </w:pPr>
            <w:r>
              <w:t xml:space="preserve">EPS/Rev </w:t>
            </w:r>
            <w:r>
              <w:rPr>
                <w:rFonts w:hint="eastAsia"/>
              </w:rPr>
              <w:t xml:space="preserve">量级</w:t>
            </w:r>
          </w:p>
        </w:tc>
        <w:tc>
          <w:tcPr/>
          <w:p>
            <w:pPr>
              <w:pStyle w:val="Compact"/>
            </w:pPr>
            <w:r>
              <w:t xml:space="preserve">MARKET EXP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CPI/PPI books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宏观叠油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</w:tbl>
    <w:bookmarkEnd w:id="18"/>
    <w:bookmarkStart w:id="19" w:name="assumption-register"/>
    <w:p>
      <w:pPr>
        <w:pStyle w:val="Heading2"/>
      </w:pPr>
      <w:r>
        <w:t xml:space="preserve">10. Assumption Register</w:t>
      </w:r>
    </w:p>
    <w:p>
      <w:pPr>
        <w:pStyle w:val="Compact"/>
        <w:numPr>
          <w:ilvl w:val="0"/>
          <w:numId w:val="1006"/>
        </w:numPr>
      </w:pPr>
      <w:r>
        <w:t xml:space="preserve">USD </w:t>
      </w:r>
      <w:r>
        <w:rPr>
          <w:rFonts w:hint="eastAsia"/>
        </w:rPr>
        <w:t xml:space="preserve">收入用指引</w:t>
      </w:r>
      <w:r>
        <w:t xml:space="preserve"> FX 32 </w:t>
      </w:r>
      <w:r>
        <w:rPr>
          <w:rFonts w:hint="eastAsia"/>
        </w:rPr>
        <w:t xml:space="preserve">换算共识</w:t>
      </w:r>
      <w:r>
        <w:t xml:space="preserve"> </w:t>
      </w:r>
      <w:r>
        <w:rPr>
          <w:rFonts w:hint="eastAsia"/>
        </w:rPr>
        <w:t xml:space="preserve">TWD（ASSUMPTION）。</w:t>
      </w:r>
    </w:p>
    <w:p>
      <w:pPr>
        <w:pStyle w:val="Compact"/>
        <w:numPr>
          <w:ilvl w:val="0"/>
          <w:numId w:val="1006"/>
        </w:numPr>
      </w:pPr>
      <w:r>
        <w:t xml:space="preserve">Beat/Miss </w:t>
      </w:r>
      <w:r>
        <w:rPr>
          <w:rFonts w:hint="eastAsia"/>
        </w:rPr>
        <w:t xml:space="preserve">阈值锚定公司指引上下沿（HYPOTHESIS）。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反应路径为示意，非交易指令。</w:t>
      </w:r>
    </w:p>
    <w:p>
      <w:pPr>
        <w:pStyle w:val="Compact"/>
        <w:numPr>
          <w:ilvl w:val="0"/>
          <w:numId w:val="1006"/>
        </w:numPr>
      </w:pPr>
      <w:r>
        <w:t xml:space="preserve">CoWoS </w:t>
      </w:r>
      <w:r>
        <w:rPr>
          <w:rFonts w:hint="eastAsia"/>
        </w:rPr>
        <w:t xml:space="preserve">点评对同伴的弹性高于</w:t>
      </w:r>
      <w:r>
        <w:t xml:space="preserve"> EPS </w:t>
      </w:r>
      <w:r>
        <w:rPr>
          <w:rFonts w:hint="eastAsia"/>
        </w:rPr>
        <w:t xml:space="preserve">意外（INFERENCE）。</w:t>
      </w:r>
    </w:p>
    <w:bookmarkEnd w:id="19"/>
    <w:bookmarkStart w:id="35" w:name="图表"/>
    <w:p>
      <w:pPr>
        <w:pStyle w:val="Heading2"/>
      </w:pPr>
      <w:r>
        <w:rPr>
          <w:rFonts w:hint="eastAsia"/>
        </w:rPr>
        <w:t xml:space="preserve">图表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传导" title="" id="21" name="Picture"/>
            <a:graphic>
              <a:graphicData uri="http://schemas.openxmlformats.org/drawingml/2006/picture">
                <pic:pic>
                  <pic:nvPicPr>
                    <pic:cNvPr descr="images/01_transmission_chai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预期差" title="" id="24" name="Picture"/>
            <a:graphic>
              <a:graphicData uri="http://schemas.openxmlformats.org/drawingml/2006/picture">
                <pic:pic>
                  <pic:nvPicPr>
                    <pic:cNvPr descr="images/02_expectation_g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情景" title="" id="27" name="Picture"/>
            <a:graphic>
              <a:graphicData uri="http://schemas.openxmlformats.org/drawingml/2006/picture">
                <pic:pic>
                  <pic:nvPicPr>
                    <pic:cNvPr descr="images/03_scenarios_reaction_path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KPI" title="" id="30" name="Picture"/>
            <a:graphic>
              <a:graphicData uri="http://schemas.openxmlformats.org/drawingml/2006/picture">
                <pic:pic>
                  <pic:nvPicPr>
                    <pic:cNvPr descr="images/04_kpi_scoreca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清单" title="" id="33" name="Picture"/>
            <a:graphic>
              <a:graphicData uri="http://schemas.openxmlformats.org/drawingml/2006/picture">
                <pic:pic>
                  <pic:nvPicPr>
                    <pic:cNvPr descr="images/05_live_timeline_check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9" Target="https://investor.tsmc.com/english/quarterly-results/2026/q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investor.tsmc.com/english/quarterly-results/2026/q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2026-10-14T10:06:51Z</dcterms:created>
  <dcterms:modified xsi:type="dcterms:W3CDTF">2026-10-14T10:06:51Z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