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b44d74daab7685c7536d40e18482cafe0f4b97"/>
    <w:p>
      <w:pPr>
        <w:pStyle w:val="Heading1"/>
      </w:pPr>
      <w:r>
        <w:t xml:space="preserve">US PPI (Sep 2026) Pre-Event Book — English twin (v20261014-1806)</w:t>
      </w:r>
    </w:p>
    <w:p>
      <w:pPr>
        <w:pStyle w:val="BlockText"/>
      </w:pPr>
      <w:r>
        <w:rPr>
          <w:b/>
          <w:bCs/>
        </w:rPr>
        <w:t xml:space="preserve">Release: Thu 2026-10-15 08:30 ET = 20:30 SGT</w:t>
      </w:r>
      <w:r>
        <w:rPr>
          <w:rFonts w:hint="eastAsia"/>
        </w:rPr>
        <w:t xml:space="preserve">｜</w:t>
      </w:r>
      <w:r>
        <w:rPr>
          <w:b/>
          <w:bCs/>
        </w:rPr>
        <w:t xml:space="preserve">CONFIRMED</w:t>
      </w:r>
      <w:r>
        <w:t xml:space="preserve"> </w:t>
      </w:r>
      <w:r>
        <w:t xml:space="preserve">(bls.gov PPI schedule). Snapshot locked with this version. Not investment advice.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EXP (Helious 2026-10-14):</w:t>
      </w:r>
      <w:r>
        <w:t xml:space="preserve"> </w:t>
      </w:r>
      <w:r>
        <w:t xml:space="preserve">Final Demand PPI</w:t>
      </w:r>
      <w:r>
        <w:t xml:space="preserve"> </w:t>
      </w:r>
      <w:r>
        <w:rPr>
          <w:b/>
          <w:bCs/>
        </w:rPr>
        <w:t xml:space="preserve">+0.50% m/m, 5.3% y/y</w:t>
      </w:r>
      <w:r>
        <w:t xml:space="preserve">. August actual</w:t>
      </w:r>
      <w:r>
        <w:t xml:space="preserve"> </w:t>
      </w:r>
      <w:r>
        <w:rPr>
          <w:b/>
          <w:bCs/>
        </w:rPr>
        <w:t xml:space="preserve">+0.40% / ~5.4%</w:t>
      </w:r>
      <w:r>
        <w:t xml:space="preserve"> </w:t>
      </w:r>
      <w:r>
        <w:t xml:space="preserve">(FRED PPIFIS index 157.411).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Analyst view (NOT consensus):</w:t>
      </w:r>
      <w:r>
        <w:t xml:space="preserve"> </w:t>
      </w:r>
      <w:r>
        <w:t xml:space="preserve">Continuum Economics (2026-10-01) +0.6% headline (energy-led), +0.3% core ex food/energy.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HYPOTHESIS:</w:t>
      </w:r>
      <w:r>
        <w:t xml:space="preserve"> </w:t>
      </w:r>
      <w:r>
        <w:t xml:space="preserve">Sit on Helious</w:t>
      </w:r>
      <w:r>
        <w:t xml:space="preserve"> </w:t>
      </w:r>
      <w:r>
        <w:rPr>
          <w:b/>
          <w:bCs/>
        </w:rPr>
        <w:t xml:space="preserve">+0.50% / 5.3%</w:t>
      </w:r>
      <w:r>
        <w:t xml:space="preserve">; probabilities Cool 25% / Inline 50% / Hot 25%. No fake-precise independent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Fed prefers</w:t>
      </w:r>
      <w:r>
        <w:t xml:space="preserve"> </w:t>
      </w:r>
      <w:r>
        <w:rPr>
          <w:b/>
          <w:bCs/>
        </w:rPr>
        <w:t xml:space="preserve">PCE</w:t>
      </w:r>
      <w:r>
        <w:t xml:space="preserve">; PPI portfolio-management, healthcare, airfares/trade margins map into core PCE — especially after tonight’s locked CPI (v20261013-1803, do not rewrite).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Watch:</w:t>
      </w:r>
      <w:r>
        <w:t xml:space="preserve"> </w:t>
      </w:r>
      <w:r>
        <w:t xml:space="preserve">FD MoM ≤0.2 cool / 0.3–0.6 inline / ≥0.7 hot; services components; 2Y first 15 minutes; consistency with CPI structure.</w:t>
      </w:r>
    </w:p>
    <w:bookmarkEnd w:id="9"/>
    <w:bookmarkStart w:id="10" w:name="scenarios-hypothesis"/>
    <w:p>
      <w:pPr>
        <w:pStyle w:val="Heading2"/>
      </w:pPr>
      <w:r>
        <w:t xml:space="preserve">Scenarios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USDJPY</w:t>
            </w:r>
          </w:p>
        </w:tc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</w:t>
            </w:r>
          </w:p>
        </w:tc>
        <w:tc>
          <w:tcPr/>
          <w:p>
            <w:pPr>
              <w:pStyle w:val="Compact"/>
            </w:pPr>
            <w:r>
              <w:t xml:space="preserve">FD MoM ≤0.2% or YoY ≤5.0%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−5~−10bp</w:t>
            </w:r>
          </w:p>
        </w:tc>
        <w:tc>
          <w:tcPr/>
          <w:p>
            <w:pPr>
              <w:pStyle w:val="Compact"/>
            </w:pPr>
            <w:r>
              <w:t xml:space="preserve">−3~−8bp</w:t>
            </w:r>
          </w:p>
        </w:tc>
        <w:tc>
          <w:tcPr/>
          <w:p>
            <w:pPr>
              <w:pStyle w:val="Compact"/>
            </w:pPr>
            <w:r>
              <w:t xml:space="preserve">−0.3~−0.8</w:t>
            </w:r>
          </w:p>
        </w:tc>
        <w:tc>
          <w:tcPr/>
          <w:p>
            <w:pPr>
              <w:pStyle w:val="Compact"/>
            </w:pPr>
            <w:r>
              <w:t xml:space="preserve">+0.5~+1.2%</w:t>
            </w:r>
          </w:p>
        </w:tc>
        <w:tc>
          <w:tcPr/>
          <w:p>
            <w:pPr>
              <w:pStyle w:val="Compact"/>
            </w:pPr>
            <w:r>
              <w:t xml:space="preserve">+0.8~+2%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</w:t>
            </w:r>
          </w:p>
        </w:tc>
        <w:tc>
          <w:tcPr/>
          <w:p>
            <w:pPr>
              <w:pStyle w:val="Compact"/>
            </w:pPr>
            <w:r>
              <w:t xml:space="preserve">MoM 0.3–0.6%; YoY ~5.1–5.5%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±3bp</w:t>
            </w:r>
          </w:p>
        </w:tc>
        <w:tc>
          <w:tcPr/>
          <w:p>
            <w:pPr>
              <w:pStyle w:val="Compact"/>
            </w:pPr>
            <w:r>
              <w:t xml:space="preserve">±4bp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</w:p>
        </w:tc>
        <w:tc>
          <w:tcPr/>
          <w:p>
            <w:pPr>
              <w:pStyle w:val="Compact"/>
            </w:pPr>
            <w:r>
              <w:t xml:space="preserve">±0.5%</w:t>
            </w:r>
          </w:p>
        </w:tc>
        <w:tc>
          <w:tcPr/>
          <w:p>
            <w:pPr>
              <w:pStyle w:val="Compact"/>
            </w:pPr>
            <w:r>
              <w:t xml:space="preserve">AI/earnings 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MoM ≥0.7% or YoY ≥5.6%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+6~+12bp</w:t>
            </w:r>
          </w:p>
        </w:tc>
        <w:tc>
          <w:tcPr/>
          <w:p>
            <w:pPr>
              <w:pStyle w:val="Compact"/>
            </w:pPr>
            <w:r>
              <w:t xml:space="preserve">+4~+8bp</w:t>
            </w:r>
          </w:p>
        </w:tc>
        <w:tc>
          <w:tcPr/>
          <w:p>
            <w:pPr>
              <w:pStyle w:val="Compact"/>
            </w:pPr>
            <w:r>
              <w:t xml:space="preserve">+0.4~+0.9</w:t>
            </w:r>
          </w:p>
        </w:tc>
        <w:tc>
          <w:tcPr/>
          <w:p>
            <w:pPr>
              <w:pStyle w:val="Compact"/>
            </w:pPr>
            <w:r>
              <w:t xml:space="preserve">−0.8~−1.8%</w:t>
            </w:r>
          </w:p>
        </w:tc>
        <w:tc>
          <w:tcPr/>
          <w:p>
            <w:pPr>
              <w:pStyle w:val="Compact"/>
            </w:pPr>
            <w:r>
              <w:t xml:space="preserve">−1~−2.5%</w:t>
            </w:r>
          </w:p>
        </w:tc>
      </w:tr>
    </w:tbl>
    <w:bookmarkEnd w:id="10"/>
    <w:bookmarkStart w:id="11" w:name="falsifiers-one-liners"/>
    <w:p>
      <w:pPr>
        <w:pStyle w:val="Heading2"/>
      </w:pPr>
      <w:r>
        <w:t xml:space="preserve">Falsifiers (one-liners)</w:t>
      </w:r>
    </w:p>
    <w:p>
      <w:pPr>
        <w:pStyle w:val="Compact"/>
        <w:numPr>
          <w:ilvl w:val="0"/>
          <w:numId w:val="1002"/>
        </w:numPr>
      </w:pPr>
      <w:r>
        <w:t xml:space="preserve">Hot print but 2Y &lt;+3bp → priced/growth trade. 2. Cool print but SOX &lt;−1.5% → industry narrative dominates. 3. Energy-led hot headline with soft services but breakevens spike → second-round fear. 4. Miss our Inline band → forecast error log. 5. PPI vs CPI services diverge and PCE expectations unmoved → cut PPI→PCE weight.</w:t>
      </w:r>
    </w:p>
    <w:bookmarkEnd w:id="11"/>
    <w:bookmarkStart w:id="12" w:name="charts"/>
    <w:p>
      <w:pPr>
        <w:pStyle w:val="Heading2"/>
      </w:pPr>
      <w:r>
        <w:t xml:space="preserve">Charts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in this folder (same five figures as ZH primary). Full teaching narrative in ZH teaching file.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2026-10-14T10:06:37Z</dcterms:created>
  <dcterms:modified xsi:type="dcterms:W3CDTF">2026-10-14T10:06:37Z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