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86384837bbb59837c5b0199a2660ae9d2cc69e"/>
    <w:p>
      <w:pPr>
        <w:pStyle w:val="Heading1"/>
      </w:pPr>
      <w:r>
        <w:t xml:space="preserve">AMD Advanced Micro Devices,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Advanced Micro Devices,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$605.53；距</w:t>
      </w:r>
      <w:r>
        <w:t xml:space="preserve"> 2026-10-06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-8.5%。主题：CPU</w:t>
      </w:r>
      <w:r>
        <w:t xml:space="preserve"> + GPU AI accelerators CPU+AI GPU。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67.7%，一致预期</w:t>
      </w:r>
      <w:r>
        <w:t xml:space="preserve"> </w:t>
      </w:r>
      <w:r>
        <w:rPr>
          <w:rFonts w:hint="eastAsia"/>
        </w:rPr>
        <w:t xml:space="preserve">74.6%；三情景价值</w:t>
      </w:r>
      <w:r>
        <w:t xml:space="preserve"> $159/$749/$1,865。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2026-11-04（TENTATIVE</w:t>
      </w:r>
      <w:r>
        <w:t xml:space="preserve"> </w:t>
      </w:r>
      <w:r>
        <w:rPr>
          <w:rFonts w:hint="eastAsia"/>
        </w:rPr>
        <w:t xml:space="preserve">直至公司确认）；盯：DC收入、Instinct收入、服务器份额、毛利率。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CPU + GPU AI accelerators CPU+AI </w:t>
      </w:r>
      <w:r>
        <w:rPr>
          <w:rFonts w:hint="eastAsia"/>
        </w:rPr>
        <w:t xml:space="preserve">GPU。持有者在乎的是：AMD在服务器CPU持续夺份额，并以MI400/Helios机架争夺AI</w:t>
      </w:r>
      <w:r>
        <w:t xml:space="preserve"> </w:t>
      </w:r>
      <w:r>
        <w:rPr>
          <w:rFonts w:hint="eastAsia"/>
        </w:rPr>
        <w:t xml:space="preserve">GPU第二供应商地位；OpenAI合作是验证点，执行风险高。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67.7%，一致预期</w:t>
      </w:r>
      <w:r>
        <w:t xml:space="preserve"> </w:t>
      </w:r>
      <w:r>
        <w:rPr>
          <w:rFonts w:hint="eastAsia"/>
        </w:rPr>
        <w:t xml:space="preserve">74.6%——市场定价不比分析师更乐观。跑率/静态</w:t>
      </w:r>
      <w:r>
        <w:t xml:space="preserve"> P/E </w:t>
      </w:r>
      <w:r>
        <w:rPr>
          <w:rFonts w:hint="eastAsia"/>
        </w:rPr>
        <w:t xml:space="preserve">154.5×、前瞻</w:t>
      </w:r>
      <w:r>
        <w:t xml:space="preserve"> P/E </w:t>
      </w:r>
      <w:r>
        <w:rPr>
          <w:rFonts w:hint="eastAsia"/>
        </w:rPr>
        <w:t xml:space="preserve">38.5×（Yahoo）。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50.1%）→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53.8%）→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断点：Rack-scale</w:t>
      </w:r>
      <w:r>
        <w:t xml:space="preserve"> (Helios) execution, ROCm software maturity, CoWoS </w:t>
      </w:r>
      <w:r>
        <w:rPr>
          <w:rFonts w:hint="eastAsia"/>
        </w:rPr>
        <w:t xml:space="preserve">supply｜机架级Helios执行、ROCm软件、CoWoS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折现。AMD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53.8%；收入同比</w:t>
      </w:r>
      <w:r>
        <w:t xml:space="preserve"> </w:t>
      </w:r>
      <w:r>
        <w:rPr>
          <w:rFonts w:hint="eastAsia"/>
        </w:rPr>
        <w:t xml:space="preserve">50.1%。新闻多数改变的是现金流预期，而非折现率。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竞争者：NVDA,</w:t>
      </w:r>
      <w:r>
        <w:t xml:space="preserve"> Intel, ARM-based CPUs, custom </w:t>
      </w:r>
      <w:r>
        <w:rPr>
          <w:rFonts w:hint="eastAsia"/>
        </w:rPr>
        <w:t xml:space="preserve">ASICs｜NVDA、英特尔、ARM</w:t>
      </w:r>
      <w:r>
        <w:t xml:space="preserve"> </w:t>
      </w:r>
      <w:r>
        <w:rPr>
          <w:rFonts w:hint="eastAsia"/>
        </w:rPr>
        <w:t xml:space="preserve">CPU、ASIC。客户：Hyperscalers,</w:t>
      </w:r>
      <w:r>
        <w:t xml:space="preserve"> OpenAI (MI450 deal), Oracle, Meta, PC </w:t>
      </w:r>
      <w:r>
        <w:rPr>
          <w:rFonts w:hint="eastAsia"/>
        </w:rPr>
        <w:t xml:space="preserve">OEMs｜云厂、OpenAI、甲骨文、Meta、PC厂。若</w:t>
      </w:r>
      <w:r>
        <w:t xml:space="preserve"> AMD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看多会错，如果：Delays;</w:t>
      </w:r>
      <w:r>
        <w:t xml:space="preserve"> NVDA price aggression; client PC slowdown from memory </w:t>
      </w:r>
      <w:r>
        <w:rPr>
          <w:rFonts w:hint="eastAsia"/>
        </w:rPr>
        <w:t xml:space="preserve">costs｜延期；NVDA压价；存储涨价拖累PC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67.7%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74.6%；近几季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+2% / 2025-12 +16% / 2026-03 +6% / 2026-06 +3%。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买方押：MI450</w:t>
      </w:r>
      <w:r>
        <w:t xml:space="preserve"> ramps on time with multiple gigawatt </w:t>
      </w:r>
      <w:r>
        <w:rPr>
          <w:rFonts w:hint="eastAsia"/>
        </w:rPr>
        <w:t xml:space="preserve">customers｜MI450按期多客户放量。卖方押：Delays;</w:t>
      </w:r>
      <w:r>
        <w:t xml:space="preserve"> NVDA price aggression; client PC slowdown from memory </w:t>
      </w:r>
      <w:r>
        <w:rPr>
          <w:rFonts w:hint="eastAsia"/>
        </w:rPr>
        <w:t xml:space="preserve">costs｜延期；NVDA压价；存储涨价拖累PC。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年以来最大的三次回撤：2010-04→2015-07</w:t>
      </w:r>
      <w:r>
        <w:t xml:space="preserve"> </w:t>
      </w:r>
      <w:r>
        <w:rPr>
          <w:rFonts w:hint="eastAsia"/>
        </w:rPr>
        <w:t xml:space="preserve">-84%；2008-02→2008-11</w:t>
      </w:r>
      <w:r>
        <w:t xml:space="preserve"> </w:t>
      </w:r>
      <w:r>
        <w:rPr>
          <w:rFonts w:hint="eastAsia"/>
        </w:rPr>
        <w:t xml:space="preserve">-78%；2021-11→2022-10</w:t>
      </w:r>
      <w:r>
        <w:t xml:space="preserve"> </w:t>
      </w:r>
      <w:r>
        <w:rPr>
          <w:rFonts w:hint="eastAsia"/>
        </w:rPr>
        <w:t xml:space="preserve">-65%；中位数</w:t>
      </w:r>
      <w:r>
        <w:t xml:space="preserve"> </w:t>
      </w:r>
      <w:r>
        <w:rPr>
          <w:rFonts w:hint="eastAsia"/>
        </w:rPr>
        <w:t xml:space="preserve">-78%。当前距高点</w:t>
      </w:r>
      <w:r>
        <w:t xml:space="preserve"> </w:t>
      </w:r>
      <w:r>
        <w:rPr>
          <w:rFonts w:hint="eastAsia"/>
        </w:rPr>
        <w:t xml:space="preserve">-8.5%。毛利率区间：39.8%–54.3%（本快照内）。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AMD在服务器CPU持续夺份额，并以MI400/Helios机架争夺AI</w:t>
      </w:r>
      <w:r>
        <w:t xml:space="preserve"> </w:t>
      </w:r>
      <w:r>
        <w:rPr>
          <w:rFonts w:hint="eastAsia"/>
        </w:rPr>
        <w:t xml:space="preserve">GPU第二供应商地位；OpenAI合作是验证点，执行风险高。（HYPOTHESIS）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$605.53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$749 </w:t>
      </w:r>
      <w:r>
        <w:rPr>
          <w:rFonts w:hint="eastAsia"/>
        </w:rPr>
        <w:t xml:space="preserve">-19.1%，安全边际取决于假设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2010-04→2015-07 </w:t>
      </w:r>
      <w:r>
        <w:rPr>
          <w:rFonts w:hint="eastAsia"/>
        </w:rPr>
        <w:t xml:space="preserve">-84%；2008-02→2008-11</w:t>
      </w:r>
      <w:r>
        <w:t xml:space="preserve"> </w:t>
      </w:r>
      <w:r>
        <w:rPr>
          <w:rFonts w:hint="eastAsia"/>
        </w:rPr>
        <w:t xml:space="preserve">-78%；2021-11→2022-10</w:t>
      </w:r>
      <w:r>
        <w:t xml:space="preserve"> -65%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$605.53 vs Base </w:t>
            </w:r>
            <w:r>
              <w:rPr>
                <w:rFonts w:hint="eastAsia"/>
              </w:rPr>
              <w:t xml:space="preserve">价值</w:t>
            </w:r>
            <w:r>
              <w:t xml:space="preserve"> $749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67.7% vs </w:t>
            </w:r>
            <w:r>
              <w:rPr>
                <w:rFonts w:hint="eastAsia"/>
              </w:rPr>
              <w:t xml:space="preserve">一致预期</w:t>
            </w:r>
            <w:r>
              <w:t xml:space="preserve"> 74.6%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39.8% → 53.8%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+6% → +3%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+50.1%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-8.5%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证据偏多方（加权</w:t>
      </w:r>
      <w:r>
        <w:t xml:space="preserve"> 10 : </w:t>
      </w:r>
      <w:r>
        <w:rPr>
          <w:rFonts w:hint="eastAsia"/>
        </w:rPr>
        <w:t xml:space="preserve">3）。这是对现有数据的机械称重，不是买卖结论；最该做的是盯住证伪清单。（我们的判断，可能出错）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67.7%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50.1%）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53.8%）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DC revenue, Instinct revenue, server CPU share, </w:t>
            </w:r>
            <w:r>
              <w:rPr>
                <w:rFonts w:hint="eastAsia"/>
              </w:rPr>
              <w:t xml:space="preserve">GM%｜DC收入、Instinct收入、服务器份额、毛利率</w:t>
            </w:r>
          </w:p>
        </w:tc>
        <w:tc>
          <w:tcPr/>
          <w:p>
            <w:pPr>
              <w:pStyle w:val="Compact"/>
            </w:pPr>
            <w:r>
              <w:t xml:space="preserve">DC GPU revenue below guide; Helios slips past </w:t>
            </w:r>
            <w:r>
              <w:rPr>
                <w:rFonts w:hint="eastAsia"/>
              </w:rPr>
              <w:t xml:space="preserve">2H26｜DC</w:t>
            </w:r>
            <w:r>
              <w:t xml:space="preserve"> </w:t>
            </w:r>
            <w:r>
              <w:rPr>
                <w:rFonts w:hint="eastAsia"/>
              </w:rPr>
              <w:t xml:space="preserve">GPU收入低于指引；Helios延后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67.7%、共识</w:t>
      </w:r>
      <w:r>
        <w:t xml:space="preserve"> </w:t>
      </w:r>
      <w:r>
        <w:rPr>
          <w:rFonts w:hint="eastAsia"/>
        </w:rPr>
        <w:t xml:space="preserve">74.6%。如果公司下季’超预期’但只超共识不超隐含，股价可能怎样？为什么？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53.8%，区间</w:t>
      </w:r>
      <w:r>
        <w:t xml:space="preserve"> </w:t>
      </w:r>
      <w:r>
        <w:rPr>
          <w:rFonts w:hint="eastAsia"/>
        </w:rPr>
        <w:t xml:space="preserve">39.8%–54.3%。用’第一性原理’说明利润率下降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-78%，当前</w:t>
      </w:r>
      <w:r>
        <w:t xml:space="preserve"> </w:t>
      </w:r>
      <w:r>
        <w:rPr>
          <w:rFonts w:hint="eastAsia"/>
        </w:rPr>
        <w:t xml:space="preserve">-8.5%。为什么’已经跌了很多’不能单独作为买入理由？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4-财报后填写"/>
    <w:p>
      <w:pPr>
        <w:pStyle w:val="Heading2"/>
      </w:pPr>
      <w:r>
        <w:rPr>
          <w:rFonts w:hint="eastAsia"/>
        </w:rPr>
        <w:t xml:space="preserve">八、事后推理复盘（2026-11-04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AMD thinking-first edition. Price $605.53; -8.5% from 2026-10-06 high. Reverse DCF: price implies ~67.7% Y1 growth vs consensus 74.6%. Scenario values $159/$749/$1,865; WACC 13.2%. Base rates: largest drawdowns since 2008: 2010-04→2015-07 </w:t>
      </w:r>
      <w:r>
        <w:rPr>
          <w:rFonts w:hint="eastAsia"/>
        </w:rPr>
        <w:t xml:space="preserve">-84%；2008-02→2008-11</w:t>
      </w:r>
      <w:r>
        <w:t xml:space="preserve"> </w:t>
      </w:r>
      <w:r>
        <w:rPr>
          <w:rFonts w:hint="eastAsia"/>
        </w:rPr>
        <w:t xml:space="preserve">-78%；2021-11→2022-10</w:t>
      </w:r>
      <w:r>
        <w:t xml:space="preserve"> -65%. Evidence weighting 10:3 (bull:bear). Falsifiers: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2026-10-14T00:04:18Z</dcterms:created>
  <dcterms:modified xsi:type="dcterms:W3CDTF">2026-10-14T00:04:18Z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