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vgo-初学者教学版-中文-v20261014-0758"/>
    <w:p>
      <w:pPr>
        <w:pStyle w:val="Heading1"/>
      </w:pPr>
      <w:r>
        <w:t xml:space="preserve">AVGO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Broadcom Inc. </w:t>
      </w:r>
      <w:r>
        <w:rPr>
          <w:rFonts w:hint="eastAsia"/>
        </w:rPr>
        <w:t xml:space="preserve">是一家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$357.31。我们的Base模型认为每股价值约</w:t>
      </w:r>
      <w:r>
        <w:t xml:space="preserve"> </w:t>
      </w:r>
      <w:r>
        <w:rPr>
          <w:rFonts w:hint="eastAsia"/>
        </w:rPr>
        <w:t xml:space="preserve">$772（116.1%）。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rPr>
          <w:rFonts w:hint="eastAsia"/>
        </w:rPr>
        <w:t xml:space="preserve">]（实际、预期、超预期%）。下次财报约</w:t>
      </w:r>
      <w:r>
        <w:t xml:space="preserve"> 2026-12-10。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89.1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64.1%；m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12.6%。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44.2%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64.9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57.6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3,721.8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64.1%；价格隐含增速</w:t>
      </w:r>
      <w:r>
        <w:t xml:space="preserve"> 41.2%。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$179 / Base $772 / Bull </w:t>
      </w:r>
      <w:r>
        <w:rPr>
          <w:rFonts w:hint="eastAsia"/>
        </w:rPr>
        <w:t xml:space="preserve">$1,821；概率加权</w:t>
      </w:r>
      <w:r>
        <w:t xml:space="preserve"> $886。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27790b4a785aa06218ddbef4f02432f6cc6ee4"/>
    <w:p>
      <w:pPr>
        <w:pStyle w:val="Heading1"/>
      </w:pPr>
      <w:r>
        <w:t xml:space="preserve">AVGO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Broadcom Inc. is a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company. Price $357.31; our Base model value ≈ $772 (116.1%).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t xml:space="preserve">]. Next earnings ≈ 2026-12-10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89.1 bn USD; g₁ = 64.1%; m = long-run FCF margin = 45.0%; W = 12.6%.</w:t>
      </w:r>
      <w:r>
        <w:t xml:space="preserve"> </w:t>
      </w:r>
      <w:r>
        <w:t xml:space="preserve">R₁ = R₀×(1+g₁) = 146.2 bn USD; FCF₁ = 64.9 bn USD; PV = FCF₁/(1+W) = 57.6 bn USD; 10 years + terminal → EV 3,721.8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64.1%; price-implied growth 41.2%.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$179 / Base $772 / Bull $1,821; weighted $886.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—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VG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2026-10-13T23:59:43Z</dcterms:created>
  <dcterms:modified xsi:type="dcterms:W3CDTF">2026-10-13T23:59:43Z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