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6a286fb5049a2851b1ca0713c172882f64b4fd"/>
    <w:p>
      <w:pPr>
        <w:pStyle w:val="Heading1"/>
      </w:pPr>
      <w:r>
        <w:t xml:space="preserve">EME EMCOR Group,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$776.05｜市值</w:t>
      </w:r>
      <w:r>
        <w:t xml:space="preserve"> 34.2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EMCOR把AI数据中心与制造回流转化为高可见度在手订单(RPO)；以项目执行与利润率稳定见长。</w:t>
      </w:r>
    </w:p>
    <w:p>
      <w:pPr>
        <w:pStyle w:val="Compact"/>
        <w:numPr>
          <w:ilvl w:val="0"/>
          <w:numId w:val="1001"/>
        </w:numPr>
      </w:pPr>
      <w:r>
        <w:rPr>
          <w:rFonts w:hint="eastAsia"/>
          <w:b/>
          <w:bCs/>
        </w:rPr>
        <w:t xml:space="preserve">多头驱动</w:t>
      </w:r>
      <w:r>
        <w:t xml:space="preserve">: RPO keeps growing; margin expands with </w:t>
      </w:r>
      <w:r>
        <w:rPr>
          <w:rFonts w:hint="eastAsia"/>
        </w:rPr>
        <w:t xml:space="preserve">prefab｜RPO持续增长；预制化提升利润率</w:t>
      </w:r>
    </w:p>
    <w:p>
      <w:pPr>
        <w:pStyle w:val="Compact"/>
        <w:numPr>
          <w:ilvl w:val="0"/>
          <w:numId w:val="1001"/>
        </w:numPr>
      </w:pPr>
      <w:r>
        <w:rPr>
          <w:rFonts w:hint="eastAsia"/>
          <w:b/>
          <w:bCs/>
        </w:rPr>
        <w:t xml:space="preserve">空头驱动</w:t>
      </w:r>
      <w:r>
        <w:t xml:space="preserve">: DC project timing pushouts; labor cost </w:t>
      </w:r>
      <w:r>
        <w:rPr>
          <w:rFonts w:hint="eastAsia"/>
        </w:rPr>
        <w:t xml:space="preserve">inflation｜数据中心项目延后；人工成本</w:t>
      </w:r>
    </w:p>
    <w:p>
      <w:pPr>
        <w:pStyle w:val="Compact"/>
        <w:numPr>
          <w:ilvl w:val="0"/>
          <w:numId w:val="1001"/>
        </w:numPr>
      </w:pPr>
      <w:r>
        <w:rPr>
          <w:rFonts w:hint="eastAsia"/>
          <w:b/>
          <w:bCs/>
        </w:rPr>
        <w:t xml:space="preserve">证伪条件</w:t>
      </w:r>
      <w:r>
        <w:rPr>
          <w:b/>
          <w:bCs/>
        </w:rPr>
        <w:t xml:space="preserve"> Falsifiers</w:t>
      </w:r>
      <w:r>
        <w:t xml:space="preserve">: RPO declines; op margin </w:t>
      </w:r>
      <w:r>
        <w:rPr>
          <w:rFonts w:hint="eastAsia"/>
        </w:rPr>
        <w:t xml:space="preserve">&lt;8%｜RPO下降；营业利润率&lt;8%</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Electrical/mechanical contractor (DC build) </w:t>
      </w:r>
      <w:r>
        <w:rPr>
          <w:rFonts w:hint="eastAsia"/>
        </w:rPr>
        <w:t xml:space="preserve">机电工程(数据中心建设)</w:t>
      </w:r>
    </w:p>
    <w:p>
      <w:pPr>
        <w:pStyle w:val="Compact"/>
        <w:numPr>
          <w:ilvl w:val="0"/>
          <w:numId w:val="1002"/>
        </w:numPr>
      </w:pPr>
      <w:r>
        <w:rPr>
          <w:rFonts w:hint="eastAsia"/>
        </w:rPr>
        <w:t xml:space="preserve">业务分部</w:t>
      </w:r>
      <w:r>
        <w:t xml:space="preserve"> Segments: US Electrical construction </w:t>
      </w:r>
      <w:r>
        <w:rPr>
          <w:rFonts w:hint="eastAsia"/>
        </w:rPr>
        <w:t xml:space="preserve">电气；US</w:t>
      </w:r>
      <w:r>
        <w:t xml:space="preserve"> Mechanical construction </w:t>
      </w:r>
      <w:r>
        <w:rPr>
          <w:rFonts w:hint="eastAsia"/>
        </w:rPr>
        <w:t xml:space="preserve">机械；US</w:t>
      </w:r>
      <w:r>
        <w:t xml:space="preserve"> Building services </w:t>
      </w:r>
      <w:r>
        <w:rPr>
          <w:rFonts w:hint="eastAsia"/>
        </w:rPr>
        <w:t xml:space="preserve">楼宇服务；UK</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02"/>
        </w:numPr>
      </w:pPr>
      <w:r>
        <w:rPr>
          <w:rFonts w:hint="eastAsia"/>
        </w:rPr>
        <w:t xml:space="preserve">主要客户:</w:t>
      </w:r>
      <w:r>
        <w:t xml:space="preserve"> Data-center developers, manufacturing (semis/pharma), healthcare, </w:t>
      </w:r>
      <w:r>
        <w:rPr>
          <w:rFonts w:hint="eastAsia"/>
        </w:rPr>
        <w:t xml:space="preserve">institutional｜数据中心开发商、制造业、医疗、机构</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Skilled labor, electrical gear (switchgear, transformers), HVAC </w:t>
      </w:r>
      <w:r>
        <w:rPr>
          <w:rFonts w:hint="eastAsia"/>
        </w:rPr>
        <w:t xml:space="preserve">equipment｜技术工人、电气设备、暖通设备</w:t>
      </w:r>
    </w:p>
    <w:p>
      <w:pPr>
        <w:pStyle w:val="Compact"/>
        <w:numPr>
          <w:ilvl w:val="0"/>
          <w:numId w:val="1003"/>
        </w:numPr>
      </w:pPr>
      <w:r>
        <w:rPr>
          <w:rFonts w:hint="eastAsia"/>
        </w:rPr>
        <w:t xml:space="preserve">竞争者</w:t>
      </w:r>
      <w:r>
        <w:t xml:space="preserve"> </w:t>
      </w:r>
      <w:r>
        <w:rPr>
          <w:rFonts w:hint="eastAsia"/>
        </w:rPr>
        <w:t xml:space="preserve">(含业外):</w:t>
      </w:r>
      <w:r>
        <w:t xml:space="preserve"> Quanta, MYR, Comfort Systems, private </w:t>
      </w:r>
      <w:r>
        <w:rPr>
          <w:rFonts w:hint="eastAsia"/>
        </w:rPr>
        <w:t xml:space="preserve">contractors｜Quanta、MYR、Comfort</w:t>
      </w:r>
      <w:r>
        <w:t xml:space="preserve"> Systems</w:t>
      </w:r>
    </w:p>
    <w:p>
      <w:pPr>
        <w:pStyle w:val="Compact"/>
        <w:numPr>
          <w:ilvl w:val="0"/>
          <w:numId w:val="1003"/>
        </w:numPr>
      </w:pPr>
      <w:r>
        <w:rPr>
          <w:rFonts w:hint="eastAsia"/>
        </w:rPr>
        <w:t xml:space="preserve">瓶颈/监管:</w:t>
      </w:r>
      <w:r>
        <w:t xml:space="preserve"> Skilled labor, equipment lead </w:t>
      </w:r>
      <w:r>
        <w:rPr>
          <w:rFonts w:hint="eastAsia"/>
        </w:rPr>
        <w:t xml:space="preserve">times｜技术工人、设备交期</w:t>
      </w:r>
    </w:p>
    <w:p>
      <w:pPr>
        <w:pStyle w:val="Compact"/>
        <w:numPr>
          <w:ilvl w:val="0"/>
          <w:numId w:val="1003"/>
        </w:numPr>
      </w:pPr>
      <w:r>
        <w:rPr>
          <w:rFonts w:hint="eastAsia"/>
        </w:rPr>
        <w:t xml:space="preserve">关键KPI:</w:t>
      </w:r>
      <w:r>
        <w:t xml:space="preserve"> RPO, op margin, network &amp; communications sector </w:t>
      </w:r>
      <w:r>
        <w:rPr>
          <w:rFonts w:hint="eastAsia"/>
        </w:rPr>
        <w:t xml:space="preserve">revenue｜RPO、营业利润率、网络通信行业收入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0.9 bn </w:t>
      </w:r>
      <w:r>
        <w:rPr>
          <w:rFonts w:hint="eastAsia"/>
        </w:rPr>
        <w:t xml:space="preserve">USD；总负债</w:t>
      </w:r>
      <w:r>
        <w:t xml:space="preserve"> 0.5 bn </w:t>
      </w:r>
      <w:r>
        <w:rPr>
          <w:rFonts w:hint="eastAsia"/>
        </w:rPr>
        <w:t xml:space="preserve">USD；净现金</w:t>
      </w:r>
      <w:r>
        <w:t xml:space="preserve"> 0.4 bn USD。TTM FCF 1.2 bn </w:t>
      </w:r>
      <w:r>
        <w:rPr>
          <w:rFonts w:hint="eastAsia"/>
        </w:rPr>
        <w:t xml:space="preserve">USD（FCF率</w:t>
      </w:r>
      <w:r>
        <w:t xml:space="preserve"> </w:t>
      </w:r>
      <w:r>
        <w:rPr>
          <w:rFonts w:hint="eastAsia"/>
        </w:rPr>
        <w:t xml:space="preserve">6.3%）。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8.3288（10位分析师）；收入一致预期</w:t>
      </w:r>
      <w:r>
        <w:t xml:space="preserve"> 5.2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$386.81</w:t>
            </w:r>
          </w:p>
        </w:tc>
        <w:tc>
          <w:tcPr/>
          <w:p>
            <w:pPr>
              <w:pStyle w:val="Compact"/>
            </w:pPr>
            <w:r>
              <w:t xml:space="preserve">-50.2%</w:t>
            </w:r>
          </w:p>
        </w:tc>
      </w:tr>
      <w:tr>
        <w:tc>
          <w:tcPr/>
          <w:p>
            <w:pPr>
              <w:pStyle w:val="Compact"/>
            </w:pPr>
            <w:r>
              <w:t xml:space="preserve">2Q</w:t>
            </w:r>
          </w:p>
        </w:tc>
        <w:tc>
          <w:tcPr/>
          <w:p>
            <w:pPr>
              <w:pStyle w:val="Compact"/>
            </w:pPr>
            <w:r>
              <w:t xml:space="preserve">Base</w:t>
            </w:r>
          </w:p>
        </w:tc>
        <w:tc>
          <w:tcPr/>
          <w:p>
            <w:pPr>
              <w:pStyle w:val="Compact"/>
            </w:pPr>
            <w:r>
              <w:t xml:space="preserve">$734.02</w:t>
            </w:r>
          </w:p>
        </w:tc>
        <w:tc>
          <w:tcPr/>
          <w:p>
            <w:pPr>
              <w:pStyle w:val="Compact"/>
            </w:pPr>
            <w:r>
              <w:t xml:space="preserve">-5.4%</w:t>
            </w:r>
          </w:p>
        </w:tc>
      </w:tr>
      <w:tr>
        <w:tc>
          <w:tcPr/>
          <w:p>
            <w:pPr>
              <w:pStyle w:val="Compact"/>
            </w:pPr>
            <w:r>
              <w:t xml:space="preserve">2Q</w:t>
            </w:r>
          </w:p>
        </w:tc>
        <w:tc>
          <w:tcPr/>
          <w:p>
            <w:pPr>
              <w:pStyle w:val="Compact"/>
            </w:pPr>
            <w:r>
              <w:t xml:space="preserve">Bull</w:t>
            </w:r>
          </w:p>
        </w:tc>
        <w:tc>
          <w:tcPr/>
          <w:p>
            <w:pPr>
              <w:pStyle w:val="Compact"/>
            </w:pPr>
            <w:r>
              <w:t xml:space="preserve">$1,118.31</w:t>
            </w:r>
          </w:p>
        </w:tc>
        <w:tc>
          <w:tcPr/>
          <w:p>
            <w:pPr>
              <w:pStyle w:val="Compact"/>
            </w:pPr>
            <w:r>
              <w:t xml:space="preserve">44.1%</w:t>
            </w:r>
          </w:p>
        </w:tc>
      </w:tr>
      <w:tr>
        <w:tc>
          <w:tcPr/>
          <w:p>
            <w:pPr>
              <w:pStyle w:val="Compact"/>
            </w:pPr>
            <w:r>
              <w:t xml:space="preserve">4Q</w:t>
            </w:r>
          </w:p>
        </w:tc>
        <w:tc>
          <w:tcPr/>
          <w:p>
            <w:pPr>
              <w:pStyle w:val="Compact"/>
            </w:pPr>
            <w:r>
              <w:t xml:space="preserve">Bear</w:t>
            </w:r>
          </w:p>
        </w:tc>
        <w:tc>
          <w:tcPr/>
          <w:p>
            <w:pPr>
              <w:pStyle w:val="Compact"/>
            </w:pPr>
            <w:r>
              <w:t xml:space="preserve">$365.97</w:t>
            </w:r>
          </w:p>
        </w:tc>
        <w:tc>
          <w:tcPr/>
          <w:p>
            <w:pPr>
              <w:pStyle w:val="Compact"/>
            </w:pPr>
            <w:r>
              <w:t xml:space="preserve">-52.8%</w:t>
            </w:r>
          </w:p>
        </w:tc>
      </w:tr>
      <w:tr>
        <w:tc>
          <w:tcPr/>
          <w:p>
            <w:pPr>
              <w:pStyle w:val="Compact"/>
            </w:pPr>
            <w:r>
              <w:t xml:space="preserve">4Q</w:t>
            </w:r>
          </w:p>
        </w:tc>
        <w:tc>
          <w:tcPr/>
          <w:p>
            <w:pPr>
              <w:pStyle w:val="Compact"/>
            </w:pPr>
            <w:r>
              <w:t xml:space="preserve">Base</w:t>
            </w:r>
          </w:p>
        </w:tc>
        <w:tc>
          <w:tcPr/>
          <w:p>
            <w:pPr>
              <w:pStyle w:val="Compact"/>
            </w:pPr>
            <w:r>
              <w:t xml:space="preserve">$730.30</w:t>
            </w:r>
          </w:p>
        </w:tc>
        <w:tc>
          <w:tcPr/>
          <w:p>
            <w:pPr>
              <w:pStyle w:val="Compact"/>
            </w:pPr>
            <w:r>
              <w:t xml:space="preserve">-5.9%</w:t>
            </w:r>
          </w:p>
        </w:tc>
      </w:tr>
      <w:tr>
        <w:tc>
          <w:tcPr/>
          <w:p>
            <w:pPr>
              <w:pStyle w:val="Compact"/>
            </w:pPr>
            <w:r>
              <w:t xml:space="preserve">4Q</w:t>
            </w:r>
          </w:p>
        </w:tc>
        <w:tc>
          <w:tcPr/>
          <w:p>
            <w:pPr>
              <w:pStyle w:val="Compact"/>
            </w:pPr>
            <w:r>
              <w:t xml:space="preserve">Bull</w:t>
            </w:r>
          </w:p>
        </w:tc>
        <w:tc>
          <w:tcPr/>
          <w:p>
            <w:pPr>
              <w:pStyle w:val="Compact"/>
            </w:pPr>
            <w:r>
              <w:t xml:space="preserve">$1,147.47</w:t>
            </w:r>
          </w:p>
        </w:tc>
        <w:tc>
          <w:tcPr/>
          <w:p>
            <w:pPr>
              <w:pStyle w:val="Compact"/>
            </w:pPr>
            <w:r>
              <w:t xml:space="preserve">47.9%</w:t>
            </w:r>
          </w:p>
        </w:tc>
      </w:tr>
      <w:tr>
        <w:tc>
          <w:tcPr/>
          <w:p>
            <w:pPr>
              <w:pStyle w:val="Compact"/>
            </w:pPr>
            <w:r>
              <w:t xml:space="preserve">6Q</w:t>
            </w:r>
          </w:p>
        </w:tc>
        <w:tc>
          <w:tcPr/>
          <w:p>
            <w:pPr>
              <w:pStyle w:val="Compact"/>
            </w:pPr>
            <w:r>
              <w:t xml:space="preserve">Bear</w:t>
            </w:r>
          </w:p>
        </w:tc>
        <w:tc>
          <w:tcPr/>
          <w:p>
            <w:pPr>
              <w:pStyle w:val="Compact"/>
            </w:pPr>
            <w:r>
              <w:t xml:space="preserve">$346.02</w:t>
            </w:r>
          </w:p>
        </w:tc>
        <w:tc>
          <w:tcPr/>
          <w:p>
            <w:pPr>
              <w:pStyle w:val="Compact"/>
            </w:pPr>
            <w:r>
              <w:t xml:space="preserve">-55.4%</w:t>
            </w:r>
          </w:p>
        </w:tc>
      </w:tr>
      <w:tr>
        <w:tc>
          <w:tcPr/>
          <w:p>
            <w:pPr>
              <w:pStyle w:val="Compact"/>
            </w:pPr>
            <w:r>
              <w:t xml:space="preserve">6Q</w:t>
            </w:r>
          </w:p>
        </w:tc>
        <w:tc>
          <w:tcPr/>
          <w:p>
            <w:pPr>
              <w:pStyle w:val="Compact"/>
            </w:pPr>
            <w:r>
              <w:t xml:space="preserve">Base</w:t>
            </w:r>
          </w:p>
        </w:tc>
        <w:tc>
          <w:tcPr/>
          <w:p>
            <w:pPr>
              <w:pStyle w:val="Compact"/>
            </w:pPr>
            <w:r>
              <w:t xml:space="preserve">$726.60</w:t>
            </w:r>
          </w:p>
        </w:tc>
        <w:tc>
          <w:tcPr/>
          <w:p>
            <w:pPr>
              <w:pStyle w:val="Compact"/>
            </w:pPr>
            <w:r>
              <w:t xml:space="preserve">-6.4%</w:t>
            </w:r>
          </w:p>
        </w:tc>
      </w:tr>
      <w:tr>
        <w:tc>
          <w:tcPr/>
          <w:p>
            <w:pPr>
              <w:pStyle w:val="Compact"/>
            </w:pPr>
            <w:r>
              <w:t xml:space="preserve">6Q</w:t>
            </w:r>
          </w:p>
        </w:tc>
        <w:tc>
          <w:tcPr/>
          <w:p>
            <w:pPr>
              <w:pStyle w:val="Compact"/>
            </w:pPr>
            <w:r>
              <w:t xml:space="preserve">Bull</w:t>
            </w:r>
          </w:p>
        </w:tc>
        <w:tc>
          <w:tcPr/>
          <w:p>
            <w:pPr>
              <w:pStyle w:val="Compact"/>
            </w:pPr>
            <w:r>
              <w:t xml:space="preserve">$1,177.33</w:t>
            </w:r>
          </w:p>
        </w:tc>
        <w:tc>
          <w:tcPr/>
          <w:p>
            <w:pPr>
              <w:pStyle w:val="Compact"/>
            </w:pPr>
            <w:r>
              <w:t xml:space="preserve">51.7%</w:t>
            </w:r>
          </w:p>
        </w:tc>
      </w:tr>
      <w:tr>
        <w:tc>
          <w:tcPr/>
          <w:p>
            <w:pPr>
              <w:pStyle w:val="Compact"/>
            </w:pPr>
            <w:r>
              <w:t xml:space="preserve">8Q</w:t>
            </w:r>
          </w:p>
        </w:tc>
        <w:tc>
          <w:tcPr/>
          <w:p>
            <w:pPr>
              <w:pStyle w:val="Compact"/>
            </w:pPr>
            <w:r>
              <w:t xml:space="preserve">Bear</w:t>
            </w:r>
          </w:p>
        </w:tc>
        <w:tc>
          <w:tcPr/>
          <w:p>
            <w:pPr>
              <w:pStyle w:val="Compact"/>
            </w:pPr>
            <w:r>
              <w:t xml:space="preserve">$326.92</w:t>
            </w:r>
          </w:p>
        </w:tc>
        <w:tc>
          <w:tcPr/>
          <w:p>
            <w:pPr>
              <w:pStyle w:val="Compact"/>
            </w:pPr>
            <w:r>
              <w:t xml:space="preserve">-57.9%</w:t>
            </w:r>
          </w:p>
        </w:tc>
      </w:tr>
      <w:tr>
        <w:tc>
          <w:tcPr/>
          <w:p>
            <w:pPr>
              <w:pStyle w:val="Compact"/>
            </w:pPr>
            <w:r>
              <w:t xml:space="preserve">8Q</w:t>
            </w:r>
          </w:p>
        </w:tc>
        <w:tc>
          <w:tcPr/>
          <w:p>
            <w:pPr>
              <w:pStyle w:val="Compact"/>
            </w:pPr>
            <w:r>
              <w:t xml:space="preserve">Base</w:t>
            </w:r>
          </w:p>
        </w:tc>
        <w:tc>
          <w:tcPr/>
          <w:p>
            <w:pPr>
              <w:pStyle w:val="Compact"/>
            </w:pPr>
            <w:r>
              <w:t xml:space="preserve">$722.92</w:t>
            </w:r>
          </w:p>
        </w:tc>
        <w:tc>
          <w:tcPr/>
          <w:p>
            <w:pPr>
              <w:pStyle w:val="Compact"/>
            </w:pPr>
            <w:r>
              <w:t xml:space="preserve">-6.8%</w:t>
            </w:r>
          </w:p>
        </w:tc>
      </w:tr>
      <w:tr>
        <w:tc>
          <w:tcPr/>
          <w:p>
            <w:pPr>
              <w:pStyle w:val="Compact"/>
            </w:pPr>
            <w:r>
              <w:t xml:space="preserve">8Q</w:t>
            </w:r>
          </w:p>
        </w:tc>
        <w:tc>
          <w:tcPr/>
          <w:p>
            <w:pPr>
              <w:pStyle w:val="Compact"/>
            </w:pPr>
            <w:r>
              <w:t xml:space="preserve">Bull</w:t>
            </w:r>
          </w:p>
        </w:tc>
        <w:tc>
          <w:tcPr/>
          <w:p>
            <w:pPr>
              <w:pStyle w:val="Compact"/>
            </w:pPr>
            <w:r>
              <w:t xml:space="preserve">$1,207.92</w:t>
            </w:r>
          </w:p>
        </w:tc>
        <w:tc>
          <w:tcPr/>
          <w:p>
            <w:pPr>
              <w:pStyle w:val="Compact"/>
            </w:pPr>
            <w:r>
              <w:t xml:space="preserve">55.6%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25.1x</w:t>
            </w:r>
          </w:p>
        </w:tc>
      </w:tr>
      <w:tr>
        <w:tc>
          <w:tcPr/>
          <w:p>
            <w:pPr>
              <w:pStyle w:val="Compact"/>
            </w:pPr>
            <w:r>
              <w:t xml:space="preserve">4Q</w:t>
            </w:r>
          </w:p>
        </w:tc>
        <w:tc>
          <w:tcPr/>
          <w:p>
            <w:pPr>
              <w:pStyle w:val="Compact"/>
            </w:pPr>
            <w:r>
              <w:t xml:space="preserve">24.0x</w:t>
            </w:r>
          </w:p>
        </w:tc>
      </w:tr>
      <w:tr>
        <w:tc>
          <w:tcPr/>
          <w:p>
            <w:pPr>
              <w:pStyle w:val="Compact"/>
            </w:pPr>
            <w:r>
              <w:t xml:space="preserve">6Q</w:t>
            </w:r>
          </w:p>
        </w:tc>
        <w:tc>
          <w:tcPr/>
          <w:p>
            <w:pPr>
              <w:pStyle w:val="Compact"/>
            </w:pPr>
            <w:r>
              <w:t xml:space="preserve">22.9x</w:t>
            </w:r>
          </w:p>
        </w:tc>
      </w:tr>
      <w:tr>
        <w:tc>
          <w:tcPr/>
          <w:p>
            <w:pPr>
              <w:pStyle w:val="Compact"/>
            </w:pPr>
            <w:r>
              <w:t xml:space="preserve">8Q</w:t>
            </w:r>
          </w:p>
        </w:tc>
        <w:tc>
          <w:tcPr/>
          <w:p>
            <w:pPr>
              <w:pStyle w:val="Compact"/>
            </w:pPr>
            <w:r>
              <w:t xml:space="preserve">21.8x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5.4%</w:t>
            </w:r>
          </w:p>
        </w:tc>
        <w:tc>
          <w:tcPr/>
          <w:p>
            <w:pPr>
              <w:pStyle w:val="Compact"/>
            </w:pPr>
            <w:r>
              <w:t xml:space="preserve">4.8%</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$269.14</w:t>
            </w:r>
          </w:p>
        </w:tc>
        <w:tc>
          <w:tcPr/>
          <w:p>
            <w:pPr>
              <w:pStyle w:val="Compact"/>
            </w:pPr>
            <w:r>
              <w:t xml:space="preserve">-65.3%</w:t>
            </w:r>
          </w:p>
        </w:tc>
      </w:tr>
      <w:tr>
        <w:tc>
          <w:tcPr/>
          <w:p>
            <w:pPr>
              <w:pStyle w:val="Compact"/>
            </w:pPr>
            <w:r>
              <w:t xml:space="preserve">Base</w:t>
            </w:r>
          </w:p>
        </w:tc>
        <w:tc>
          <w:tcPr/>
          <w:p>
            <w:pPr>
              <w:pStyle w:val="Compact"/>
            </w:pPr>
            <w:r>
              <w:t xml:space="preserve">10.9%</w:t>
            </w:r>
          </w:p>
        </w:tc>
        <w:tc>
          <w:tcPr/>
          <w:p>
            <w:pPr>
              <w:pStyle w:val="Compact"/>
            </w:pPr>
            <w:r>
              <w:t xml:space="preserve">6.0%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$466.61</w:t>
            </w:r>
          </w:p>
        </w:tc>
        <w:tc>
          <w:tcPr/>
          <w:p>
            <w:pPr>
              <w:pStyle w:val="Compact"/>
            </w:pPr>
            <w:r>
              <w:t xml:space="preserve">-39.9%</w:t>
            </w:r>
          </w:p>
        </w:tc>
      </w:tr>
      <w:tr>
        <w:tc>
          <w:tcPr/>
          <w:p>
            <w:pPr>
              <w:pStyle w:val="Compact"/>
            </w:pPr>
            <w:r>
              <w:t xml:space="preserve">Bull</w:t>
            </w:r>
          </w:p>
        </w:tc>
        <w:tc>
          <w:tcPr/>
          <w:p>
            <w:pPr>
              <w:pStyle w:val="Compact"/>
            </w:pPr>
            <w:r>
              <w:t xml:space="preserve">14.2%</w:t>
            </w:r>
          </w:p>
        </w:tc>
        <w:tc>
          <w:tcPr/>
          <w:p>
            <w:pPr>
              <w:pStyle w:val="Compact"/>
            </w:pPr>
            <w:r>
              <w:t xml:space="preserve">6.9%</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$680.23</w:t>
            </w:r>
          </w:p>
        </w:tc>
        <w:tc>
          <w:tcPr/>
          <w:p>
            <w:pPr>
              <w:pStyle w:val="Compact"/>
            </w:pPr>
            <w:r>
              <w:t xml:space="preserve">-12.3%</w:t>
            </w:r>
          </w:p>
        </w:tc>
      </w:tr>
    </w:tbl>
    <w:p>
      <w:pPr>
        <w:pStyle w:val="BodyText"/>
      </w:pPr>
      <w:r>
        <w:rPr>
          <w:rFonts w:hint="eastAsia"/>
        </w:rPr>
        <w:t xml:space="preserve">概率加权价值</w:t>
      </w:r>
      <w:r>
        <w:t xml:space="preserve"> </w:t>
      </w:r>
      <w:r>
        <w:rPr>
          <w:b/>
          <w:bCs/>
        </w:rPr>
        <w:t xml:space="preserve">$470.65</w:t>
      </w:r>
      <w:r>
        <w:rPr>
          <w:rFonts w:hint="eastAsia"/>
        </w:rPr>
        <w:t xml:space="preserve">（相对现价</w:t>
      </w:r>
      <w:r>
        <w:t xml:space="preserve"> </w:t>
      </w:r>
      <w:r>
        <w:rPr>
          <w:rFonts w:hint="eastAsia"/>
        </w:rPr>
        <w:t xml:space="preserve">-39.4%）。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20.2 bn </w:t>
      </w:r>
      <w:r>
        <w:rPr>
          <w:rFonts w:hint="eastAsia"/>
        </w:rPr>
        <w:t xml:space="preserve">USD；终值占比</w:t>
      </w:r>
      <w:r>
        <w:t xml:space="preserve"> 50.6%。</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24.4%</w:t>
      </w:r>
      <w:r>
        <w:rPr>
          <w:rFonts w:hint="eastAsia"/>
        </w:rPr>
        <w:t xml:space="preserve">；一致预期FY+1增速</w:t>
      </w:r>
      <w:r>
        <w:t xml:space="preserve"> 10.9%。</w:t>
      </w:r>
    </w:p>
    <w:p>
      <w:pPr>
        <w:numPr>
          <w:ilvl w:val="0"/>
          <w:numId w:val="1005"/>
        </w:numPr>
      </w:pPr>
      <w:r>
        <w:t xml:space="preserve">WACC (CAPM) = rf 5.2% + β 1.12 × ERP 5.0% = 10.8%。</w:t>
      </w:r>
    </w:p>
    <w:p>
      <w:pPr>
        <w:numPr>
          <w:ilvl w:val="0"/>
          <w:numId w:val="1005"/>
        </w:numPr>
      </w:pPr>
      <w:r>
        <w:t xml:space="preserve">SOTP segments </w:t>
      </w:r>
      <w:r>
        <w:rPr>
          <w:rFonts w:hint="eastAsia"/>
        </w:rPr>
        <w:t xml:space="preserve">分部:</w:t>
      </w:r>
      <w:r>
        <w:t xml:space="preserve">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EME | 34.2 bn USD | 1.8x | 20.8x | 19.8% | 19.4% | 3.4% |</w:t>
      </w:r>
      <w:r>
        <w:t xml:space="preserve"> </w:t>
      </w:r>
      <w:r>
        <w:t xml:space="preserve">| PWR | 103.6 bn USD | 3.3x | 34.7x | 41.1% | 15.5% | 1.9% |</w:t>
      </w:r>
      <w:r>
        <w:t xml:space="preserve"> </w:t>
      </w:r>
      <w:r>
        <w:t xml:space="preserve">| FIX | 57.2 bn USD | 5.0x | 27.0x | 50.3% | 25.7% | 3.2% |</w:t>
      </w:r>
      <w:r>
        <w:t xml:space="preserve"> </w:t>
      </w:r>
      <w:r>
        <w:t xml:space="preserve">| MYRG | 4.8 bn USD | 1.2x | 21.2x | 20.1% | 12.5% | 3.7% |</w:t>
      </w:r>
      <w:r>
        <w:t xml:space="preserve"> </w:t>
      </w:r>
      <w:r>
        <w:t xml:space="preserve">| STRL | 15.3 bn USD | 4.4x | 19.4x | 90.1% | 23.8% | 2.3%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DC project timing pushouts; labor cost </w:t>
      </w:r>
      <w:r>
        <w:rPr>
          <w:rFonts w:hint="eastAsia"/>
        </w:rPr>
        <w:t xml:space="preserve">inflation｜数据中心项目延后；人工成本</w:t>
      </w:r>
    </w:p>
    <w:p>
      <w:pPr>
        <w:pStyle w:val="Compact"/>
        <w:numPr>
          <w:ilvl w:val="0"/>
          <w:numId w:val="1006"/>
        </w:numPr>
      </w:pPr>
      <w:r>
        <w:rPr>
          <w:rFonts w:hint="eastAsia"/>
        </w:rPr>
        <w:t xml:space="preserve">证伪指标:</w:t>
      </w:r>
      <w:r>
        <w:t xml:space="preserve"> RPO declines; op margin </w:t>
      </w:r>
      <w:r>
        <w:rPr>
          <w:rFonts w:hint="eastAsia"/>
        </w:rPr>
        <w:t xml:space="preserve">&lt;8%｜RPO下降；营业利润率&lt;8%</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776</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3.423e+10</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9.244e+08</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5.48e+08</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1.86e+10</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1.171e+09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1.119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0.1972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0.1089</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0.1089</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0.06299</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EME_model_v20261014-0758.xlsx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EME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EME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EME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EME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EME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0825eca684930f3a5ceb4da336da109509d7f85"/>
    <w:p>
      <w:pPr>
        <w:pStyle w:val="Heading1"/>
      </w:pPr>
      <w:r>
        <w:t xml:space="preserve">EME EMCOR Group, Inc. — Equity Deep Dive (Professional English) v20261014-0758</w:t>
      </w:r>
    </w:p>
    <w:p>
      <w:pPr>
        <w:pStyle w:val="BlockText"/>
      </w:pPr>
      <w:r>
        <w:t xml:space="preserve">Data as of 2026-10-14 07:58 SGT | Price $776.05 | Mkt cap 34.2 bn USD | Reporting currency USD | Not investment advice.</w:t>
      </w:r>
    </w:p>
    <w:bookmarkStart w:id="39" w:name="investment-thesis-hypothesis"/>
    <w:p>
      <w:pPr>
        <w:pStyle w:val="Heading2"/>
      </w:pPr>
      <w:r>
        <w:t xml:space="preserve">1. Investment thesis (HYPOTHESIS)</w:t>
      </w:r>
    </w:p>
    <w:p>
      <w:pPr>
        <w:pStyle w:val="FirstParagraph"/>
      </w:pPr>
      <w:r>
        <w:t xml:space="preserve">EMCOR converts AI data-center and reshoring demand into high-visibility RPO, with strong execution and stable margins.</w:t>
      </w:r>
    </w:p>
    <w:p>
      <w:pPr>
        <w:pStyle w:val="Compact"/>
        <w:numPr>
          <w:ilvl w:val="0"/>
          <w:numId w:val="1009"/>
        </w:numPr>
      </w:pPr>
      <w:r>
        <w:rPr>
          <w:b/>
          <w:bCs/>
        </w:rPr>
        <w:t xml:space="preserve">Bull drivers</w:t>
      </w:r>
      <w:r>
        <w:t xml:space="preserve">: RPO keeps growing; margin expands with </w:t>
      </w:r>
      <w:r>
        <w:rPr>
          <w:rFonts w:hint="eastAsia"/>
        </w:rPr>
        <w:t xml:space="preserve">prefab｜RPO持续增长；预制化提升利润率</w:t>
      </w:r>
    </w:p>
    <w:p>
      <w:pPr>
        <w:pStyle w:val="Compact"/>
        <w:numPr>
          <w:ilvl w:val="0"/>
          <w:numId w:val="1009"/>
        </w:numPr>
      </w:pPr>
      <w:r>
        <w:rPr>
          <w:b/>
          <w:bCs/>
        </w:rPr>
        <w:t xml:space="preserve">Bear drivers</w:t>
      </w:r>
      <w:r>
        <w:t xml:space="preserve">: DC project timing pushouts; labor cost </w:t>
      </w:r>
      <w:r>
        <w:rPr>
          <w:rFonts w:hint="eastAsia"/>
        </w:rPr>
        <w:t xml:space="preserve">inflation｜数据中心项目延后；人工成本</w:t>
      </w:r>
    </w:p>
    <w:p>
      <w:pPr>
        <w:pStyle w:val="Compact"/>
        <w:numPr>
          <w:ilvl w:val="0"/>
          <w:numId w:val="1009"/>
        </w:numPr>
      </w:pPr>
      <w:r>
        <w:rPr>
          <w:b/>
          <w:bCs/>
        </w:rPr>
        <w:t xml:space="preserve">Falsifiers</w:t>
      </w:r>
      <w:r>
        <w:t xml:space="preserve">: RPO declines; op margin </w:t>
      </w:r>
      <w:r>
        <w:rPr>
          <w:rFonts w:hint="eastAsia"/>
        </w:rPr>
        <w:t xml:space="preserve">&lt;8%｜RPO下降；营业利润率&lt;8%</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Electrical/mechanical contractor (DC build) </w:t>
      </w:r>
      <w:r>
        <w:rPr>
          <w:rFonts w:hint="eastAsia"/>
        </w:rPr>
        <w:t xml:space="preserve">机电工程(数据中心建设)</w:t>
      </w:r>
      <w:r>
        <w:t xml:space="preserve"> |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p>
    <w:p>
      <w:pPr>
        <w:pStyle w:val="Compact"/>
        <w:numPr>
          <w:ilvl w:val="0"/>
          <w:numId w:val="1010"/>
        </w:numPr>
      </w:pPr>
      <w:r>
        <w:t xml:space="preserve">Business description (DATA):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10"/>
        </w:numPr>
      </w:pPr>
      <w:r>
        <w:t xml:space="preserve">Customers: Data-center developers, manufacturing (semis/pharma), healthcare, </w:t>
      </w:r>
      <w:r>
        <w:rPr>
          <w:rFonts w:hint="eastAsia"/>
        </w:rPr>
        <w:t xml:space="preserve">institutional｜数据中心开发商、制造业、医疗、机构</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Skilled labor, electrical gear (switchgear, transformers), HVAC </w:t>
      </w:r>
      <w:r>
        <w:rPr>
          <w:rFonts w:hint="eastAsia"/>
        </w:rPr>
        <w:t xml:space="preserve">equipment｜技术工人、电气设备、暖通设备</w:t>
      </w:r>
    </w:p>
    <w:p>
      <w:pPr>
        <w:pStyle w:val="Compact"/>
        <w:numPr>
          <w:ilvl w:val="0"/>
          <w:numId w:val="1011"/>
        </w:numPr>
      </w:pPr>
      <w:r>
        <w:t xml:space="preserve">Competitors: Quanta, MYR, Comfort Systems, private </w:t>
      </w:r>
      <w:r>
        <w:rPr>
          <w:rFonts w:hint="eastAsia"/>
        </w:rPr>
        <w:t xml:space="preserve">contractors｜Quanta、MYR、Comfort</w:t>
      </w:r>
      <w:r>
        <w:t xml:space="preserve"> Systems</w:t>
      </w:r>
    </w:p>
    <w:p>
      <w:pPr>
        <w:pStyle w:val="Compact"/>
        <w:numPr>
          <w:ilvl w:val="0"/>
          <w:numId w:val="1011"/>
        </w:numPr>
      </w:pPr>
      <w:r>
        <w:t xml:space="preserve">Bottlenecks/regulation: Skilled labor, equipment lead </w:t>
      </w:r>
      <w:r>
        <w:rPr>
          <w:rFonts w:hint="eastAsia"/>
        </w:rPr>
        <w:t xml:space="preserve">times｜技术工人、设备交期</w:t>
      </w:r>
    </w:p>
    <w:p>
      <w:pPr>
        <w:pStyle w:val="Compact"/>
        <w:numPr>
          <w:ilvl w:val="0"/>
          <w:numId w:val="1011"/>
        </w:numPr>
      </w:pPr>
      <w:r>
        <w:t xml:space="preserve">KPIs: RPO, op margin, network &amp; communications sector </w:t>
      </w:r>
      <w:r>
        <w:rPr>
          <w:rFonts w:hint="eastAsia"/>
        </w:rPr>
        <w:t xml:space="preserve">revenue｜RPO、营业利润率、网络通信行业收入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0.9 bn USD; debt 0.5 bn USD; TTM FCF 1.2 bn USD (FCF margin 6.3%).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8.3288 (10 analysts); revenue consensus 5.2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$386.81</w:t>
            </w:r>
          </w:p>
        </w:tc>
        <w:tc>
          <w:tcPr/>
          <w:p>
            <w:pPr>
              <w:pStyle w:val="Compact"/>
            </w:pPr>
            <w:r>
              <w:t xml:space="preserve">-50.2%</w:t>
            </w:r>
          </w:p>
        </w:tc>
      </w:tr>
      <w:tr>
        <w:tc>
          <w:tcPr/>
          <w:p>
            <w:pPr>
              <w:pStyle w:val="Compact"/>
            </w:pPr>
            <w:r>
              <w:t xml:space="preserve">2Q</w:t>
            </w:r>
          </w:p>
        </w:tc>
        <w:tc>
          <w:tcPr/>
          <w:p>
            <w:pPr>
              <w:pStyle w:val="Compact"/>
            </w:pPr>
            <w:r>
              <w:t xml:space="preserve">Base</w:t>
            </w:r>
          </w:p>
        </w:tc>
        <w:tc>
          <w:tcPr/>
          <w:p>
            <w:pPr>
              <w:pStyle w:val="Compact"/>
            </w:pPr>
            <w:r>
              <w:t xml:space="preserve">$734.02</w:t>
            </w:r>
          </w:p>
        </w:tc>
        <w:tc>
          <w:tcPr/>
          <w:p>
            <w:pPr>
              <w:pStyle w:val="Compact"/>
            </w:pPr>
            <w:r>
              <w:t xml:space="preserve">-5.4%</w:t>
            </w:r>
          </w:p>
        </w:tc>
      </w:tr>
      <w:tr>
        <w:tc>
          <w:tcPr/>
          <w:p>
            <w:pPr>
              <w:pStyle w:val="Compact"/>
            </w:pPr>
            <w:r>
              <w:t xml:space="preserve">2Q</w:t>
            </w:r>
          </w:p>
        </w:tc>
        <w:tc>
          <w:tcPr/>
          <w:p>
            <w:pPr>
              <w:pStyle w:val="Compact"/>
            </w:pPr>
            <w:r>
              <w:t xml:space="preserve">Bull</w:t>
            </w:r>
          </w:p>
        </w:tc>
        <w:tc>
          <w:tcPr/>
          <w:p>
            <w:pPr>
              <w:pStyle w:val="Compact"/>
            </w:pPr>
            <w:r>
              <w:t xml:space="preserve">$1,118.31</w:t>
            </w:r>
          </w:p>
        </w:tc>
        <w:tc>
          <w:tcPr/>
          <w:p>
            <w:pPr>
              <w:pStyle w:val="Compact"/>
            </w:pPr>
            <w:r>
              <w:t xml:space="preserve">44.1%</w:t>
            </w:r>
          </w:p>
        </w:tc>
      </w:tr>
      <w:tr>
        <w:tc>
          <w:tcPr/>
          <w:p>
            <w:pPr>
              <w:pStyle w:val="Compact"/>
            </w:pPr>
            <w:r>
              <w:t xml:space="preserve">4Q</w:t>
            </w:r>
          </w:p>
        </w:tc>
        <w:tc>
          <w:tcPr/>
          <w:p>
            <w:pPr>
              <w:pStyle w:val="Compact"/>
            </w:pPr>
            <w:r>
              <w:t xml:space="preserve">Bear</w:t>
            </w:r>
          </w:p>
        </w:tc>
        <w:tc>
          <w:tcPr/>
          <w:p>
            <w:pPr>
              <w:pStyle w:val="Compact"/>
            </w:pPr>
            <w:r>
              <w:t xml:space="preserve">$365.97</w:t>
            </w:r>
          </w:p>
        </w:tc>
        <w:tc>
          <w:tcPr/>
          <w:p>
            <w:pPr>
              <w:pStyle w:val="Compact"/>
            </w:pPr>
            <w:r>
              <w:t xml:space="preserve">-52.8%</w:t>
            </w:r>
          </w:p>
        </w:tc>
      </w:tr>
      <w:tr>
        <w:tc>
          <w:tcPr/>
          <w:p>
            <w:pPr>
              <w:pStyle w:val="Compact"/>
            </w:pPr>
            <w:r>
              <w:t xml:space="preserve">4Q</w:t>
            </w:r>
          </w:p>
        </w:tc>
        <w:tc>
          <w:tcPr/>
          <w:p>
            <w:pPr>
              <w:pStyle w:val="Compact"/>
            </w:pPr>
            <w:r>
              <w:t xml:space="preserve">Base</w:t>
            </w:r>
          </w:p>
        </w:tc>
        <w:tc>
          <w:tcPr/>
          <w:p>
            <w:pPr>
              <w:pStyle w:val="Compact"/>
            </w:pPr>
            <w:r>
              <w:t xml:space="preserve">$730.30</w:t>
            </w:r>
          </w:p>
        </w:tc>
        <w:tc>
          <w:tcPr/>
          <w:p>
            <w:pPr>
              <w:pStyle w:val="Compact"/>
            </w:pPr>
            <w:r>
              <w:t xml:space="preserve">-5.9%</w:t>
            </w:r>
          </w:p>
        </w:tc>
      </w:tr>
      <w:tr>
        <w:tc>
          <w:tcPr/>
          <w:p>
            <w:pPr>
              <w:pStyle w:val="Compact"/>
            </w:pPr>
            <w:r>
              <w:t xml:space="preserve">4Q</w:t>
            </w:r>
          </w:p>
        </w:tc>
        <w:tc>
          <w:tcPr/>
          <w:p>
            <w:pPr>
              <w:pStyle w:val="Compact"/>
            </w:pPr>
            <w:r>
              <w:t xml:space="preserve">Bull</w:t>
            </w:r>
          </w:p>
        </w:tc>
        <w:tc>
          <w:tcPr/>
          <w:p>
            <w:pPr>
              <w:pStyle w:val="Compact"/>
            </w:pPr>
            <w:r>
              <w:t xml:space="preserve">$1,147.47</w:t>
            </w:r>
          </w:p>
        </w:tc>
        <w:tc>
          <w:tcPr/>
          <w:p>
            <w:pPr>
              <w:pStyle w:val="Compact"/>
            </w:pPr>
            <w:r>
              <w:t xml:space="preserve">47.9%</w:t>
            </w:r>
          </w:p>
        </w:tc>
      </w:tr>
      <w:tr>
        <w:tc>
          <w:tcPr/>
          <w:p>
            <w:pPr>
              <w:pStyle w:val="Compact"/>
            </w:pPr>
            <w:r>
              <w:t xml:space="preserve">6Q</w:t>
            </w:r>
          </w:p>
        </w:tc>
        <w:tc>
          <w:tcPr/>
          <w:p>
            <w:pPr>
              <w:pStyle w:val="Compact"/>
            </w:pPr>
            <w:r>
              <w:t xml:space="preserve">Bear</w:t>
            </w:r>
          </w:p>
        </w:tc>
        <w:tc>
          <w:tcPr/>
          <w:p>
            <w:pPr>
              <w:pStyle w:val="Compact"/>
            </w:pPr>
            <w:r>
              <w:t xml:space="preserve">$346.02</w:t>
            </w:r>
          </w:p>
        </w:tc>
        <w:tc>
          <w:tcPr/>
          <w:p>
            <w:pPr>
              <w:pStyle w:val="Compact"/>
            </w:pPr>
            <w:r>
              <w:t xml:space="preserve">-55.4%</w:t>
            </w:r>
          </w:p>
        </w:tc>
      </w:tr>
      <w:tr>
        <w:tc>
          <w:tcPr/>
          <w:p>
            <w:pPr>
              <w:pStyle w:val="Compact"/>
            </w:pPr>
            <w:r>
              <w:t xml:space="preserve">6Q</w:t>
            </w:r>
          </w:p>
        </w:tc>
        <w:tc>
          <w:tcPr/>
          <w:p>
            <w:pPr>
              <w:pStyle w:val="Compact"/>
            </w:pPr>
            <w:r>
              <w:t xml:space="preserve">Base</w:t>
            </w:r>
          </w:p>
        </w:tc>
        <w:tc>
          <w:tcPr/>
          <w:p>
            <w:pPr>
              <w:pStyle w:val="Compact"/>
            </w:pPr>
            <w:r>
              <w:t xml:space="preserve">$726.60</w:t>
            </w:r>
          </w:p>
        </w:tc>
        <w:tc>
          <w:tcPr/>
          <w:p>
            <w:pPr>
              <w:pStyle w:val="Compact"/>
            </w:pPr>
            <w:r>
              <w:t xml:space="preserve">-6.4%</w:t>
            </w:r>
          </w:p>
        </w:tc>
      </w:tr>
      <w:tr>
        <w:tc>
          <w:tcPr/>
          <w:p>
            <w:pPr>
              <w:pStyle w:val="Compact"/>
            </w:pPr>
            <w:r>
              <w:t xml:space="preserve">6Q</w:t>
            </w:r>
          </w:p>
        </w:tc>
        <w:tc>
          <w:tcPr/>
          <w:p>
            <w:pPr>
              <w:pStyle w:val="Compact"/>
            </w:pPr>
            <w:r>
              <w:t xml:space="preserve">Bull</w:t>
            </w:r>
          </w:p>
        </w:tc>
        <w:tc>
          <w:tcPr/>
          <w:p>
            <w:pPr>
              <w:pStyle w:val="Compact"/>
            </w:pPr>
            <w:r>
              <w:t xml:space="preserve">$1,177.33</w:t>
            </w:r>
          </w:p>
        </w:tc>
        <w:tc>
          <w:tcPr/>
          <w:p>
            <w:pPr>
              <w:pStyle w:val="Compact"/>
            </w:pPr>
            <w:r>
              <w:t xml:space="preserve">51.7%</w:t>
            </w:r>
          </w:p>
        </w:tc>
      </w:tr>
      <w:tr>
        <w:tc>
          <w:tcPr/>
          <w:p>
            <w:pPr>
              <w:pStyle w:val="Compact"/>
            </w:pPr>
            <w:r>
              <w:t xml:space="preserve">8Q</w:t>
            </w:r>
          </w:p>
        </w:tc>
        <w:tc>
          <w:tcPr/>
          <w:p>
            <w:pPr>
              <w:pStyle w:val="Compact"/>
            </w:pPr>
            <w:r>
              <w:t xml:space="preserve">Bear</w:t>
            </w:r>
          </w:p>
        </w:tc>
        <w:tc>
          <w:tcPr/>
          <w:p>
            <w:pPr>
              <w:pStyle w:val="Compact"/>
            </w:pPr>
            <w:r>
              <w:t xml:space="preserve">$326.92</w:t>
            </w:r>
          </w:p>
        </w:tc>
        <w:tc>
          <w:tcPr/>
          <w:p>
            <w:pPr>
              <w:pStyle w:val="Compact"/>
            </w:pPr>
            <w:r>
              <w:t xml:space="preserve">-57.9%</w:t>
            </w:r>
          </w:p>
        </w:tc>
      </w:tr>
      <w:tr>
        <w:tc>
          <w:tcPr/>
          <w:p>
            <w:pPr>
              <w:pStyle w:val="Compact"/>
            </w:pPr>
            <w:r>
              <w:t xml:space="preserve">8Q</w:t>
            </w:r>
          </w:p>
        </w:tc>
        <w:tc>
          <w:tcPr/>
          <w:p>
            <w:pPr>
              <w:pStyle w:val="Compact"/>
            </w:pPr>
            <w:r>
              <w:t xml:space="preserve">Base</w:t>
            </w:r>
          </w:p>
        </w:tc>
        <w:tc>
          <w:tcPr/>
          <w:p>
            <w:pPr>
              <w:pStyle w:val="Compact"/>
            </w:pPr>
            <w:r>
              <w:t xml:space="preserve">$722.92</w:t>
            </w:r>
          </w:p>
        </w:tc>
        <w:tc>
          <w:tcPr/>
          <w:p>
            <w:pPr>
              <w:pStyle w:val="Compact"/>
            </w:pPr>
            <w:r>
              <w:t xml:space="preserve">-6.8%</w:t>
            </w:r>
          </w:p>
        </w:tc>
      </w:tr>
      <w:tr>
        <w:tc>
          <w:tcPr/>
          <w:p>
            <w:pPr>
              <w:pStyle w:val="Compact"/>
            </w:pPr>
            <w:r>
              <w:t xml:space="preserve">8Q</w:t>
            </w:r>
          </w:p>
        </w:tc>
        <w:tc>
          <w:tcPr/>
          <w:p>
            <w:pPr>
              <w:pStyle w:val="Compact"/>
            </w:pPr>
            <w:r>
              <w:t xml:space="preserve">Bull</w:t>
            </w:r>
          </w:p>
        </w:tc>
        <w:tc>
          <w:tcPr/>
          <w:p>
            <w:pPr>
              <w:pStyle w:val="Compact"/>
            </w:pPr>
            <w:r>
              <w:t xml:space="preserve">$1,207.92</w:t>
            </w:r>
          </w:p>
        </w:tc>
        <w:tc>
          <w:tcPr/>
          <w:p>
            <w:pPr>
              <w:pStyle w:val="Compact"/>
            </w:pPr>
            <w:r>
              <w:t xml:space="preserve">55.6%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25.1x</w:t>
            </w:r>
          </w:p>
        </w:tc>
      </w:tr>
      <w:tr>
        <w:tc>
          <w:tcPr/>
          <w:p>
            <w:pPr>
              <w:pStyle w:val="Compact"/>
            </w:pPr>
            <w:r>
              <w:t xml:space="preserve">4Q</w:t>
            </w:r>
          </w:p>
        </w:tc>
        <w:tc>
          <w:tcPr/>
          <w:p>
            <w:pPr>
              <w:pStyle w:val="Compact"/>
            </w:pPr>
            <w:r>
              <w:t xml:space="preserve">24.0x</w:t>
            </w:r>
          </w:p>
        </w:tc>
      </w:tr>
      <w:tr>
        <w:tc>
          <w:tcPr/>
          <w:p>
            <w:pPr>
              <w:pStyle w:val="Compact"/>
            </w:pPr>
            <w:r>
              <w:t xml:space="preserve">6Q</w:t>
            </w:r>
          </w:p>
        </w:tc>
        <w:tc>
          <w:tcPr/>
          <w:p>
            <w:pPr>
              <w:pStyle w:val="Compact"/>
            </w:pPr>
            <w:r>
              <w:t xml:space="preserve">22.9x</w:t>
            </w:r>
          </w:p>
        </w:tc>
      </w:tr>
      <w:tr>
        <w:tc>
          <w:tcPr/>
          <w:p>
            <w:pPr>
              <w:pStyle w:val="Compact"/>
            </w:pPr>
            <w:r>
              <w:t xml:space="preserve">8Q</w:t>
            </w:r>
          </w:p>
        </w:tc>
        <w:tc>
          <w:tcPr/>
          <w:p>
            <w:pPr>
              <w:pStyle w:val="Compact"/>
            </w:pPr>
            <w:r>
              <w:t xml:space="preserve">21.8x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5.4%</w:t>
            </w:r>
          </w:p>
        </w:tc>
        <w:tc>
          <w:tcPr/>
          <w:p>
            <w:pPr>
              <w:pStyle w:val="Compact"/>
            </w:pPr>
            <w:r>
              <w:t xml:space="preserve">4.8%</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$269.14</w:t>
            </w:r>
          </w:p>
        </w:tc>
        <w:tc>
          <w:tcPr/>
          <w:p>
            <w:pPr>
              <w:pStyle w:val="Compact"/>
            </w:pPr>
            <w:r>
              <w:t xml:space="preserve">-65.3%</w:t>
            </w:r>
          </w:p>
        </w:tc>
      </w:tr>
      <w:tr>
        <w:tc>
          <w:tcPr/>
          <w:p>
            <w:pPr>
              <w:pStyle w:val="Compact"/>
            </w:pPr>
            <w:r>
              <w:t xml:space="preserve">Base</w:t>
            </w:r>
          </w:p>
        </w:tc>
        <w:tc>
          <w:tcPr/>
          <w:p>
            <w:pPr>
              <w:pStyle w:val="Compact"/>
            </w:pPr>
            <w:r>
              <w:t xml:space="preserve">10.9%</w:t>
            </w:r>
          </w:p>
        </w:tc>
        <w:tc>
          <w:tcPr/>
          <w:p>
            <w:pPr>
              <w:pStyle w:val="Compact"/>
            </w:pPr>
            <w:r>
              <w:t xml:space="preserve">6.0%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$466.61</w:t>
            </w:r>
          </w:p>
        </w:tc>
        <w:tc>
          <w:tcPr/>
          <w:p>
            <w:pPr>
              <w:pStyle w:val="Compact"/>
            </w:pPr>
            <w:r>
              <w:t xml:space="preserve">-39.9%</w:t>
            </w:r>
          </w:p>
        </w:tc>
      </w:tr>
      <w:tr>
        <w:tc>
          <w:tcPr/>
          <w:p>
            <w:pPr>
              <w:pStyle w:val="Compact"/>
            </w:pPr>
            <w:r>
              <w:t xml:space="preserve">Bull</w:t>
            </w:r>
          </w:p>
        </w:tc>
        <w:tc>
          <w:tcPr/>
          <w:p>
            <w:pPr>
              <w:pStyle w:val="Compact"/>
            </w:pPr>
            <w:r>
              <w:t xml:space="preserve">14.2%</w:t>
            </w:r>
          </w:p>
        </w:tc>
        <w:tc>
          <w:tcPr/>
          <w:p>
            <w:pPr>
              <w:pStyle w:val="Compact"/>
            </w:pPr>
            <w:r>
              <w:t xml:space="preserve">6.9%</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$680.23</w:t>
            </w:r>
          </w:p>
        </w:tc>
        <w:tc>
          <w:tcPr/>
          <w:p>
            <w:pPr>
              <w:pStyle w:val="Compact"/>
            </w:pPr>
            <w:r>
              <w:t xml:space="preserve">-12.3%</w:t>
            </w:r>
          </w:p>
        </w:tc>
      </w:tr>
    </w:tbl>
    <w:p>
      <w:pPr>
        <w:pStyle w:val="BodyText"/>
      </w:pPr>
      <w:r>
        <w:t xml:space="preserve">Probability-weighted value</w:t>
      </w:r>
      <w:r>
        <w:t xml:space="preserve"> </w:t>
      </w:r>
      <w:r>
        <w:rPr>
          <w:b/>
          <w:bCs/>
        </w:rPr>
        <w:t xml:space="preserve">$470.65</w:t>
      </w:r>
      <w:r>
        <w:t xml:space="preserve"> </w:t>
      </w:r>
      <w:r>
        <w:t xml:space="preserve">(-39.4%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20.2 bn USD; terminal share 50.6%.</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24.4%</w:t>
      </w:r>
      <w:r>
        <w:t xml:space="preserve"> </w:t>
      </w:r>
      <w:r>
        <w:t xml:space="preserve">vs consensus FY+1 10.9%.</w:t>
      </w:r>
    </w:p>
    <w:p>
      <w:pPr>
        <w:pStyle w:val="Compact"/>
        <w:numPr>
          <w:ilvl w:val="0"/>
          <w:numId w:val="1013"/>
        </w:numPr>
      </w:pPr>
      <w:r>
        <w:t xml:space="preserve">WACC (CAPM) = rf 5.2% + β 1.12 × ERP 5.0% = 10.8%.</w:t>
      </w:r>
    </w:p>
    <w:p>
      <w:pPr>
        <w:pStyle w:val="Compact"/>
        <w:numPr>
          <w:ilvl w:val="0"/>
          <w:numId w:val="1013"/>
        </w:numPr>
      </w:pPr>
      <w:r>
        <w:t xml:space="preserve">SOTP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DC project timing pushouts; labor cost </w:t>
      </w:r>
      <w:r>
        <w:rPr>
          <w:rFonts w:hint="eastAsia"/>
        </w:rPr>
        <w:t xml:space="preserve">inflation｜数据中心项目延后；人工成本</w:t>
      </w:r>
      <w:r>
        <w:t xml:space="preserve"> | Falsifiers: RPO declines; op margin </w:t>
      </w:r>
      <w:r>
        <w:rPr>
          <w:rFonts w:hint="eastAsia"/>
        </w:rPr>
        <w:t xml:space="preserve">&lt;8%｜RPO下降；营业利润率&lt;8%</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EME_model_v20261014-0758.xlsx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2026-10-14T00:00:37Z</dcterms:created>
  <dcterms:modified xsi:type="dcterms:W3CDTF">2026-10-14T00:00:37Z</dcterms:modified>
</cp:coreProperties>
</file>

<file path=docProps/custom.xml><?xml version="1.0" encoding="utf-8"?>
<Properties xmlns="http://schemas.openxmlformats.org/officeDocument/2006/custom-properties" xmlns:vt="http://schemas.openxmlformats.org/officeDocument/2006/docPropsVTypes"/>
</file>