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u-初学者教学版-中文-v20261014-0758"/>
    <w:p>
      <w:pPr>
        <w:pStyle w:val="Heading1"/>
      </w:pPr>
      <w:r>
        <w:t xml:space="preserve">MU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v20261014-0758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Micron Technology, Inc. </w:t>
      </w:r>
      <w:r>
        <w:rPr>
          <w:rFonts w:hint="eastAsia"/>
        </w:rPr>
        <w:t xml:space="preserve">是一家</w:t>
      </w:r>
      <w:r>
        <w:t xml:space="preserve"> 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$953.19。我们的Base模型认为每股价值约</w:t>
      </w:r>
      <w:r>
        <w:t xml:space="preserve"> </w:t>
      </w:r>
      <w:r>
        <w:rPr>
          <w:rFonts w:hint="eastAsia"/>
        </w:rPr>
        <w:t xml:space="preserve">$584（-38.8%）。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rPr>
          <w:rFonts w:hint="eastAsia"/>
        </w:rPr>
        <w:t xml:space="preserve">]（实际、预期、超预期%）。下次财报约</w:t>
      </w:r>
      <w:r>
        <w:t xml:space="preserve"> 2026-12-24。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Memory HBM/DRAM/NAND </w:t>
      </w:r>
      <w:r>
        <w:rPr>
          <w:rFonts w:hint="eastAsia"/>
        </w:rPr>
        <w:t xml:space="preserve">存储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133.2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15.7%；m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154.1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19.7%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33.5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29.6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622.2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15.7%；价格隐含增速</w:t>
      </w:r>
      <w:r>
        <w:t xml:space="preserve"> 29.6%。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$326 / Base $584 / Bull </w:t>
      </w:r>
      <w:r>
        <w:rPr>
          <w:rFonts w:hint="eastAsia"/>
        </w:rPr>
        <w:t xml:space="preserve">$863；概率加权</w:t>
      </w:r>
      <w:r>
        <w:t xml:space="preserve"> $589。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bec6474ea611e210af9793a90461f0923affa48"/>
    <w:p>
      <w:pPr>
        <w:pStyle w:val="Heading1"/>
      </w:pPr>
      <w:r>
        <w:t xml:space="preserve">MU Beginner Teaching Edition (English) v20261014-0758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Micron Technology, Inc. is a Memory HBM/DRAM/NAND </w:t>
      </w:r>
      <w:r>
        <w:rPr>
          <w:rFonts w:hint="eastAsia"/>
        </w:rPr>
        <w:t xml:space="preserve">存储</w:t>
      </w:r>
      <w:r>
        <w:t xml:space="preserve"> company. Price $953.19; our Base model value ≈ $584 (-38.8%).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‘2026-08-31’</w:t>
      </w:r>
      <w:r>
        <w:t xml:space="preserve">,</w:t>
      </w:r>
      <w:r>
        <w:t xml:space="preserve"> </w:t>
      </w:r>
      <w:r>
        <w:t xml:space="preserve">‘33.42’</w:t>
      </w:r>
      <w:r>
        <w:t xml:space="preserve">,</w:t>
      </w:r>
      <w:r>
        <w:t xml:space="preserve"> </w:t>
      </w:r>
      <w:r>
        <w:t xml:space="preserve">‘31.81801’</w:t>
      </w:r>
      <w:r>
        <w:t xml:space="preserve">,</w:t>
      </w:r>
      <w:r>
        <w:t xml:space="preserve"> </w:t>
      </w:r>
      <w:r>
        <w:t xml:space="preserve">‘0.050300002’</w:t>
      </w:r>
      <w:r>
        <w:t xml:space="preserve">]. Next earnings ≈ 2026-12-24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133.2 bn USD; g₁ = 15.7%; m = long-run FCF margin = 30.0%; W = 13.2%.</w:t>
      </w:r>
      <w:r>
        <w:t xml:space="preserve"> </w:t>
      </w:r>
      <w:r>
        <w:t xml:space="preserve">R₁ = R₀×(1+g₁) = 154.1 bn USD; FCF₁ = 33.5 bn USD; PV = FCF₁/(1+W) = 29.6 bn USD; 10 years + terminal → EV 622.2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15.7%; price-implied growth 29.6%.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$326 / Base $584 / Bull $863; weighted $589.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Capacity additions 2027+ flip to oversupply; HBM price cuts; China CXMT </w:t>
      </w:r>
      <w:r>
        <w:rPr>
          <w:rFonts w:hint="eastAsia"/>
        </w:rPr>
        <w:t xml:space="preserve">expansion｜2027后扩产导致过剩、HBM降价、长鑫扩张</w:t>
      </w:r>
      <w:r>
        <w:t xml:space="preserve"> — Falsifiers: DRAM contract prices (TrendForce/DRAMeXchange) turn negative q/q; inventory days rising; HBM qualification </w:t>
      </w:r>
      <w:r>
        <w:rPr>
          <w:rFonts w:hint="eastAsia"/>
        </w:rPr>
        <w:t xml:space="preserve">setbacks｜DRAM合约价环比转负；库存天数上升；HBM认证受挫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MU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2026-10-13T23:59:23Z</dcterms:created>
  <dcterms:modified xsi:type="dcterms:W3CDTF">2026-10-13T23:59:23Z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