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abf62f9c18dfc9cce4942535ac40e0069a6af7"/>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$445.12｜市值</w:t>
      </w:r>
      <w:r>
        <w:t xml:space="preserve"> 2,308.6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2026-10-15</w:t>
      </w:r>
      <w:r>
        <w:rPr>
          <w:rFonts w:hint="eastAsia"/>
        </w:rPr>
        <w:t xml:space="preserve">；本季EPS一致预期</w:t>
      </w:r>
      <w:r>
        <w:t xml:space="preserve"> </w:t>
      </w:r>
      <w:r>
        <w:rPr>
          <w:rFonts w:hint="eastAsia"/>
        </w:rPr>
        <w:t xml:space="preserve">4.52449（9位分析师）；收入一致预期</w:t>
      </w:r>
      <w:r>
        <w:t xml:space="preserve"> 1,460.4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$134.34</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$281.38</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$455.96</w:t>
            </w:r>
          </w:p>
        </w:tc>
        <w:tc>
          <w:tcPr/>
          <w:p>
            <w:pPr>
              <w:pStyle w:val="Compact"/>
            </w:pPr>
            <w:r>
              <w:t xml:space="preserve">2.4%</w:t>
            </w:r>
          </w:p>
        </w:tc>
      </w:tr>
      <w:tr>
        <w:tc>
          <w:tcPr/>
          <w:p>
            <w:pPr>
              <w:pStyle w:val="Compact"/>
            </w:pPr>
            <w:r>
              <w:t xml:space="preserve">4Q</w:t>
            </w:r>
          </w:p>
        </w:tc>
        <w:tc>
          <w:tcPr/>
          <w:p>
            <w:pPr>
              <w:pStyle w:val="Compact"/>
            </w:pPr>
            <w:r>
              <w:t xml:space="preserve">Bear</w:t>
            </w:r>
          </w:p>
        </w:tc>
        <w:tc>
          <w:tcPr/>
          <w:p>
            <w:pPr>
              <w:pStyle w:val="Compact"/>
            </w:pPr>
            <w:r>
              <w:t xml:space="preserve">$135.82</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$313.71</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$538.08</w:t>
            </w:r>
          </w:p>
        </w:tc>
        <w:tc>
          <w:tcPr/>
          <w:p>
            <w:pPr>
              <w:pStyle w:val="Compact"/>
            </w:pPr>
            <w:r>
              <w:t xml:space="preserve">20.9%</w:t>
            </w:r>
          </w:p>
        </w:tc>
      </w:tr>
      <w:tr>
        <w:tc>
          <w:tcPr/>
          <w:p>
            <w:pPr>
              <w:pStyle w:val="Compact"/>
            </w:pPr>
            <w:r>
              <w:t xml:space="preserve">6Q</w:t>
            </w:r>
          </w:p>
        </w:tc>
        <w:tc>
          <w:tcPr/>
          <w:p>
            <w:pPr>
              <w:pStyle w:val="Compact"/>
            </w:pPr>
            <w:r>
              <w:t xml:space="preserve">Bear</w:t>
            </w:r>
          </w:p>
        </w:tc>
        <w:tc>
          <w:tcPr/>
          <w:p>
            <w:pPr>
              <w:pStyle w:val="Compact"/>
            </w:pPr>
            <w:r>
              <w:t xml:space="preserve">$137.37</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$350.07</w:t>
            </w:r>
          </w:p>
        </w:tc>
        <w:tc>
          <w:tcPr/>
          <w:p>
            <w:pPr>
              <w:pStyle w:val="Compact"/>
            </w:pPr>
            <w:r>
              <w:t xml:space="preserve">-21.4%</w:t>
            </w:r>
          </w:p>
        </w:tc>
      </w:tr>
      <w:tr>
        <w:tc>
          <w:tcPr/>
          <w:p>
            <w:pPr>
              <w:pStyle w:val="Compact"/>
            </w:pPr>
            <w:r>
              <w:t xml:space="preserve">6Q</w:t>
            </w:r>
          </w:p>
        </w:tc>
        <w:tc>
          <w:tcPr/>
          <w:p>
            <w:pPr>
              <w:pStyle w:val="Compact"/>
            </w:pPr>
            <w:r>
              <w:t xml:space="preserve">Bull</w:t>
            </w:r>
          </w:p>
        </w:tc>
        <w:tc>
          <w:tcPr/>
          <w:p>
            <w:pPr>
              <w:pStyle w:val="Compact"/>
            </w:pPr>
            <w:r>
              <w:t xml:space="preserve">$635.14</w:t>
            </w:r>
          </w:p>
        </w:tc>
        <w:tc>
          <w:tcPr/>
          <w:p>
            <w:pPr>
              <w:pStyle w:val="Compact"/>
            </w:pPr>
            <w:r>
              <w:t xml:space="preserve">42.7%</w:t>
            </w:r>
          </w:p>
        </w:tc>
      </w:tr>
      <w:tr>
        <w:tc>
          <w:tcPr/>
          <w:p>
            <w:pPr>
              <w:pStyle w:val="Compact"/>
            </w:pPr>
            <w:r>
              <w:t xml:space="preserve">8Q</w:t>
            </w:r>
          </w:p>
        </w:tc>
        <w:tc>
          <w:tcPr/>
          <w:p>
            <w:pPr>
              <w:pStyle w:val="Compact"/>
            </w:pPr>
            <w:r>
              <w:t xml:space="preserve">Bear</w:t>
            </w:r>
          </w:p>
        </w:tc>
        <w:tc>
          <w:tcPr/>
          <w:p>
            <w:pPr>
              <w:pStyle w:val="Compact"/>
            </w:pPr>
            <w:r>
              <w:t xml:space="preserve">$139.01</w:t>
            </w:r>
          </w:p>
        </w:tc>
        <w:tc>
          <w:tcPr/>
          <w:p>
            <w:pPr>
              <w:pStyle w:val="Compact"/>
            </w:pPr>
            <w:r>
              <w:t xml:space="preserve">-68.8%</w:t>
            </w:r>
          </w:p>
        </w:tc>
      </w:tr>
      <w:tr>
        <w:tc>
          <w:tcPr/>
          <w:p>
            <w:pPr>
              <w:pStyle w:val="Compact"/>
            </w:pPr>
            <w:r>
              <w:t xml:space="preserve">8Q</w:t>
            </w:r>
          </w:p>
        </w:tc>
        <w:tc>
          <w:tcPr/>
          <w:p>
            <w:pPr>
              <w:pStyle w:val="Compact"/>
            </w:pPr>
            <w:r>
              <w:t xml:space="preserve">Base</w:t>
            </w:r>
          </w:p>
        </w:tc>
        <w:tc>
          <w:tcPr/>
          <w:p>
            <w:pPr>
              <w:pStyle w:val="Compact"/>
            </w:pPr>
            <w:r>
              <w:t xml:space="preserve">$390.92</w:t>
            </w:r>
          </w:p>
        </w:tc>
        <w:tc>
          <w:tcPr/>
          <w:p>
            <w:pPr>
              <w:pStyle w:val="Compact"/>
            </w:pPr>
            <w:r>
              <w:t xml:space="preserve">-12.2%</w:t>
            </w:r>
          </w:p>
        </w:tc>
      </w:tr>
      <w:tr>
        <w:tc>
          <w:tcPr/>
          <w:p>
            <w:pPr>
              <w:pStyle w:val="Compact"/>
            </w:pPr>
            <w:r>
              <w:t xml:space="preserve">8Q</w:t>
            </w:r>
          </w:p>
        </w:tc>
        <w:tc>
          <w:tcPr/>
          <w:p>
            <w:pPr>
              <w:pStyle w:val="Compact"/>
            </w:pPr>
            <w:r>
              <w:t xml:space="preserve">Bull</w:t>
            </w:r>
          </w:p>
        </w:tc>
        <w:tc>
          <w:tcPr/>
          <w:p>
            <w:pPr>
              <w:pStyle w:val="Compact"/>
            </w:pPr>
            <w:r>
              <w:t xml:space="preserve">$749.74</w:t>
            </w:r>
          </w:p>
        </w:tc>
        <w:tc>
          <w:tcPr/>
          <w:p>
            <w:pPr>
              <w:pStyle w:val="Compact"/>
            </w:pPr>
            <w:r>
              <w:t xml:space="preserve">68.4%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$134.28</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$349.60</w:t>
            </w:r>
          </w:p>
        </w:tc>
        <w:tc>
          <w:tcPr/>
          <w:p>
            <w:pPr>
              <w:pStyle w:val="Compact"/>
            </w:pPr>
            <w:r>
              <w:t xml:space="preserve">-21.5%</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$653.91</w:t>
            </w:r>
          </w:p>
        </w:tc>
        <w:tc>
          <w:tcPr/>
          <w:p>
            <w:pPr>
              <w:pStyle w:val="Compact"/>
            </w:pPr>
            <w:r>
              <w:t xml:space="preserve">46.9%</w:t>
            </w:r>
          </w:p>
        </w:tc>
      </w:tr>
    </w:tbl>
    <w:p>
      <w:pPr>
        <w:pStyle w:val="BodyText"/>
      </w:pPr>
      <w:r>
        <w:rPr>
          <w:rFonts w:hint="eastAsia"/>
        </w:rPr>
        <w:t xml:space="preserve">概率加权价值</w:t>
      </w:r>
      <w:r>
        <w:t xml:space="preserve"> </w:t>
      </w:r>
      <w:r>
        <w:rPr>
          <w:b/>
          <w:bCs/>
        </w:rPr>
        <w:t xml:space="preserve">$371.85</w:t>
      </w:r>
      <w:r>
        <w:rPr>
          <w:rFonts w:hint="eastAsia"/>
        </w:rPr>
        <w:t xml:space="preserve">（相对现价</w:t>
      </w:r>
      <w:r>
        <w:t xml:space="preserve"> </w:t>
      </w:r>
      <w:r>
        <w:rPr>
          <w:rFonts w:hint="eastAsia"/>
        </w:rPr>
        <w:t xml:space="preserve">-16.5%）。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55,763.5 bn </w:t>
      </w:r>
      <w:r>
        <w:rPr>
          <w:rFonts w:hint="eastAsia"/>
        </w:rPr>
        <w:t xml:space="preserve">TWD；终值占比</w:t>
      </w:r>
      <w:r>
        <w:t xml:space="preserve"> 56.2%。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43.0%</w:t>
      </w:r>
      <w:r>
        <w:rPr>
          <w:rFonts w:hint="eastAsia"/>
        </w:rPr>
        <w:t xml:space="preserve">；一致预期FY+1增速</w:t>
      </w:r>
      <w:r>
        <w:t xml:space="preserve"> 35.9%。</w:t>
      </w:r>
    </w:p>
    <w:p>
      <w:pPr>
        <w:numPr>
          <w:ilvl w:val="0"/>
          <w:numId w:val="1005"/>
        </w:numPr>
      </w:pPr>
      <w:r>
        <w:t xml:space="preserve">WACC (CAPM) = rf 5.2% + β 1.24 × ERP 5.0% = 11.4%。</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2,308.6 bn USD | 3.6x | 19.9x | 36.0% | 64.2% | 1.5% |</w:t>
      </w:r>
      <w:r>
        <w:t xml:space="preserve"> </w:t>
      </w:r>
      <w:r>
        <w:t xml:space="preserve">| INTC | 543.5 bn USD | 9.7x | 49.2x | 25.4% | 38.9% | 0.9% |</w:t>
      </w:r>
      <w:r>
        <w:t xml:space="preserve"> </w:t>
      </w:r>
      <w:r>
        <w:t xml:space="preserve">| 005930.KS | 1,510,766.0 bn USD | 2.8x | 3.2x | 130.0% | 57.5% | 4.6% |</w:t>
      </w:r>
      <w:r>
        <w:t xml:space="preserve"> </w:t>
      </w:r>
      <w:r>
        <w:t xml:space="preserve">| UMC | 56.2 bn USD | -0.1x | 25.5x | 17.0% | 30.6% | 65.7% |</w:t>
      </w:r>
      <w:r>
        <w:t xml:space="preserve"> </w:t>
      </w:r>
      <w:r>
        <w:t xml:space="preserve">| GFS | 26.0 bn USD | 3.6x | 17.8x | 5.8% | 27.1% | 2.9%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445.1</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2.309e+12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2026-10-14T07:58</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TWD</w:t>
            </w:r>
          </w:p>
        </w:tc>
        <w:tc>
          <w:tcPr/>
          <w:p>
            <w:pPr>
              <w:pStyle w:val="Compact"/>
            </w:pPr>
            <w:r>
              <w:t xml:space="preserve">0.03115</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0.4351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2026-10-15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f269282b4ea2c134d853252d7c6d26040d0b5e"/>
    <w:p>
      <w:pPr>
        <w:pStyle w:val="Heading1"/>
      </w:pPr>
      <w:r>
        <w:t xml:space="preserve">TSM Taiwan Semiconductor Manufacturing Company Limited — Equity Deep Dive (Professional English) v20261014-0758</w:t>
      </w:r>
    </w:p>
    <w:p>
      <w:pPr>
        <w:pStyle w:val="BlockText"/>
      </w:pPr>
      <w:r>
        <w:t xml:space="preserve">Data as of 2026-10-14 07:58 SGT | Price $445.12 | Mkt cap 2,308.6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2026-10-15</w:t>
      </w:r>
      <w:r>
        <w:t xml:space="preserve">; current-quarter EPS consensus 4.52449 (9 analysts); revenue consensus 1,460.4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$134.34</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$281.38</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$455.96</w:t>
            </w:r>
          </w:p>
        </w:tc>
        <w:tc>
          <w:tcPr/>
          <w:p>
            <w:pPr>
              <w:pStyle w:val="Compact"/>
            </w:pPr>
            <w:r>
              <w:t xml:space="preserve">2.4%</w:t>
            </w:r>
          </w:p>
        </w:tc>
      </w:tr>
      <w:tr>
        <w:tc>
          <w:tcPr/>
          <w:p>
            <w:pPr>
              <w:pStyle w:val="Compact"/>
            </w:pPr>
            <w:r>
              <w:t xml:space="preserve">4Q</w:t>
            </w:r>
          </w:p>
        </w:tc>
        <w:tc>
          <w:tcPr/>
          <w:p>
            <w:pPr>
              <w:pStyle w:val="Compact"/>
            </w:pPr>
            <w:r>
              <w:t xml:space="preserve">Bear</w:t>
            </w:r>
          </w:p>
        </w:tc>
        <w:tc>
          <w:tcPr/>
          <w:p>
            <w:pPr>
              <w:pStyle w:val="Compact"/>
            </w:pPr>
            <w:r>
              <w:t xml:space="preserve">$135.82</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$313.71</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$538.08</w:t>
            </w:r>
          </w:p>
        </w:tc>
        <w:tc>
          <w:tcPr/>
          <w:p>
            <w:pPr>
              <w:pStyle w:val="Compact"/>
            </w:pPr>
            <w:r>
              <w:t xml:space="preserve">20.9%</w:t>
            </w:r>
          </w:p>
        </w:tc>
      </w:tr>
      <w:tr>
        <w:tc>
          <w:tcPr/>
          <w:p>
            <w:pPr>
              <w:pStyle w:val="Compact"/>
            </w:pPr>
            <w:r>
              <w:t xml:space="preserve">6Q</w:t>
            </w:r>
          </w:p>
        </w:tc>
        <w:tc>
          <w:tcPr/>
          <w:p>
            <w:pPr>
              <w:pStyle w:val="Compact"/>
            </w:pPr>
            <w:r>
              <w:t xml:space="preserve">Bear</w:t>
            </w:r>
          </w:p>
        </w:tc>
        <w:tc>
          <w:tcPr/>
          <w:p>
            <w:pPr>
              <w:pStyle w:val="Compact"/>
            </w:pPr>
            <w:r>
              <w:t xml:space="preserve">$137.37</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$350.07</w:t>
            </w:r>
          </w:p>
        </w:tc>
        <w:tc>
          <w:tcPr/>
          <w:p>
            <w:pPr>
              <w:pStyle w:val="Compact"/>
            </w:pPr>
            <w:r>
              <w:t xml:space="preserve">-21.4%</w:t>
            </w:r>
          </w:p>
        </w:tc>
      </w:tr>
      <w:tr>
        <w:tc>
          <w:tcPr/>
          <w:p>
            <w:pPr>
              <w:pStyle w:val="Compact"/>
            </w:pPr>
            <w:r>
              <w:t xml:space="preserve">6Q</w:t>
            </w:r>
          </w:p>
        </w:tc>
        <w:tc>
          <w:tcPr/>
          <w:p>
            <w:pPr>
              <w:pStyle w:val="Compact"/>
            </w:pPr>
            <w:r>
              <w:t xml:space="preserve">Bull</w:t>
            </w:r>
          </w:p>
        </w:tc>
        <w:tc>
          <w:tcPr/>
          <w:p>
            <w:pPr>
              <w:pStyle w:val="Compact"/>
            </w:pPr>
            <w:r>
              <w:t xml:space="preserve">$635.14</w:t>
            </w:r>
          </w:p>
        </w:tc>
        <w:tc>
          <w:tcPr/>
          <w:p>
            <w:pPr>
              <w:pStyle w:val="Compact"/>
            </w:pPr>
            <w:r>
              <w:t xml:space="preserve">42.7%</w:t>
            </w:r>
          </w:p>
        </w:tc>
      </w:tr>
      <w:tr>
        <w:tc>
          <w:tcPr/>
          <w:p>
            <w:pPr>
              <w:pStyle w:val="Compact"/>
            </w:pPr>
            <w:r>
              <w:t xml:space="preserve">8Q</w:t>
            </w:r>
          </w:p>
        </w:tc>
        <w:tc>
          <w:tcPr/>
          <w:p>
            <w:pPr>
              <w:pStyle w:val="Compact"/>
            </w:pPr>
            <w:r>
              <w:t xml:space="preserve">Bear</w:t>
            </w:r>
          </w:p>
        </w:tc>
        <w:tc>
          <w:tcPr/>
          <w:p>
            <w:pPr>
              <w:pStyle w:val="Compact"/>
            </w:pPr>
            <w:r>
              <w:t xml:space="preserve">$139.01</w:t>
            </w:r>
          </w:p>
        </w:tc>
        <w:tc>
          <w:tcPr/>
          <w:p>
            <w:pPr>
              <w:pStyle w:val="Compact"/>
            </w:pPr>
            <w:r>
              <w:t xml:space="preserve">-68.8%</w:t>
            </w:r>
          </w:p>
        </w:tc>
      </w:tr>
      <w:tr>
        <w:tc>
          <w:tcPr/>
          <w:p>
            <w:pPr>
              <w:pStyle w:val="Compact"/>
            </w:pPr>
            <w:r>
              <w:t xml:space="preserve">8Q</w:t>
            </w:r>
          </w:p>
        </w:tc>
        <w:tc>
          <w:tcPr/>
          <w:p>
            <w:pPr>
              <w:pStyle w:val="Compact"/>
            </w:pPr>
            <w:r>
              <w:t xml:space="preserve">Base</w:t>
            </w:r>
          </w:p>
        </w:tc>
        <w:tc>
          <w:tcPr/>
          <w:p>
            <w:pPr>
              <w:pStyle w:val="Compact"/>
            </w:pPr>
            <w:r>
              <w:t xml:space="preserve">$390.92</w:t>
            </w:r>
          </w:p>
        </w:tc>
        <w:tc>
          <w:tcPr/>
          <w:p>
            <w:pPr>
              <w:pStyle w:val="Compact"/>
            </w:pPr>
            <w:r>
              <w:t xml:space="preserve">-12.2%</w:t>
            </w:r>
          </w:p>
        </w:tc>
      </w:tr>
      <w:tr>
        <w:tc>
          <w:tcPr/>
          <w:p>
            <w:pPr>
              <w:pStyle w:val="Compact"/>
            </w:pPr>
            <w:r>
              <w:t xml:space="preserve">8Q</w:t>
            </w:r>
          </w:p>
        </w:tc>
        <w:tc>
          <w:tcPr/>
          <w:p>
            <w:pPr>
              <w:pStyle w:val="Compact"/>
            </w:pPr>
            <w:r>
              <w:t xml:space="preserve">Bull</w:t>
            </w:r>
          </w:p>
        </w:tc>
        <w:tc>
          <w:tcPr/>
          <w:p>
            <w:pPr>
              <w:pStyle w:val="Compact"/>
            </w:pPr>
            <w:r>
              <w:t xml:space="preserve">$749.74</w:t>
            </w:r>
          </w:p>
        </w:tc>
        <w:tc>
          <w:tcPr/>
          <w:p>
            <w:pPr>
              <w:pStyle w:val="Compact"/>
            </w:pPr>
            <w:r>
              <w:t xml:space="preserve">68.4%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$134.28</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$349.60</w:t>
            </w:r>
          </w:p>
        </w:tc>
        <w:tc>
          <w:tcPr/>
          <w:p>
            <w:pPr>
              <w:pStyle w:val="Compact"/>
            </w:pPr>
            <w:r>
              <w:t xml:space="preserve">-21.5%</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$653.91</w:t>
            </w:r>
          </w:p>
        </w:tc>
        <w:tc>
          <w:tcPr/>
          <w:p>
            <w:pPr>
              <w:pStyle w:val="Compact"/>
            </w:pPr>
            <w:r>
              <w:t xml:space="preserve">46.9%</w:t>
            </w:r>
          </w:p>
        </w:tc>
      </w:tr>
    </w:tbl>
    <w:p>
      <w:pPr>
        <w:pStyle w:val="BodyText"/>
      </w:pPr>
      <w:r>
        <w:t xml:space="preserve">Probability-weighted value</w:t>
      </w:r>
      <w:r>
        <w:t xml:space="preserve"> </w:t>
      </w:r>
      <w:r>
        <w:rPr>
          <w:b/>
          <w:bCs/>
        </w:rPr>
        <w:t xml:space="preserve">$371.85</w:t>
      </w:r>
      <w:r>
        <w:t xml:space="preserve"> </w:t>
      </w:r>
      <w:r>
        <w:t xml:space="preserve">(-16.5%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55,763.5 bn TWD; terminal share 56.2%.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43.0%</w:t>
      </w:r>
      <w:r>
        <w:t xml:space="preserve"> </w:t>
      </w:r>
      <w:r>
        <w:t xml:space="preserve">vs consensus FY+1 35.9%.</w:t>
      </w:r>
    </w:p>
    <w:p>
      <w:pPr>
        <w:pStyle w:val="Compact"/>
        <w:numPr>
          <w:ilvl w:val="0"/>
          <w:numId w:val="1013"/>
        </w:numPr>
      </w:pPr>
      <w:r>
        <w:t xml:space="preserve">WACC (CAPM) = rf 5.2% + β 1.24 × ERP 5.0% = 11.4%.</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2026-10-13T23:59:39Z</dcterms:created>
  <dcterms:modified xsi:type="dcterms:W3CDTF">2026-10-13T23:59:39Z</dcterms:modified>
</cp:coreProperties>
</file>

<file path=docProps/custom.xml><?xml version="1.0" encoding="utf-8"?>
<Properties xmlns="http://schemas.openxmlformats.org/officeDocument/2006/custom-properties" xmlns:vt="http://schemas.openxmlformats.org/officeDocument/2006/docPropsVTypes"/>
</file>