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a79bd42fa4a70871b8b7dd091b3f5f37d7feb8"/>
    <w:p>
      <w:pPr>
        <w:pStyle w:val="Heading1"/>
      </w:pPr>
      <w:r>
        <w:t xml:space="preserve">CHANGELOG v20261014-1806 — TSM Q3 2026 Pre-Event</w:t>
      </w:r>
    </w:p>
    <w:p>
      <w:pPr>
        <w:pStyle w:val="Compact"/>
        <w:numPr>
          <w:ilvl w:val="0"/>
          <w:numId w:val="1001"/>
        </w:numPr>
      </w:pPr>
      <w:r>
        <w:t xml:space="preserve">2026-10-14: Initial lock. Status upgraded CONFIRMED via TSMC IR (14:00 Taiwan/SGT). Guidance vs Yahoo consensus vs OS hypothesis; 5 charts; LiveChecklist xlsx.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2026-10-14T10:06:51Z</dcterms:created>
  <dcterms:modified xsi:type="dcterms:W3CDTF">2026-10-14T10:06:51Z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