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5a80630490ef19506d1c77236ed09191f303c86"/>
    <w:p>
      <w:pPr>
        <w:pStyle w:val="Heading1"/>
      </w:pPr>
      <w:r>
        <w:t xml:space="preserve">US CPI Sep 2026 — </w:t>
      </w:r>
      <w:r>
        <w:rPr>
          <w:rFonts w:hint="eastAsia"/>
        </w:rPr>
        <w:t xml:space="preserve">事后复盘</w:t>
      </w:r>
      <w:r>
        <w:t xml:space="preserve"> Post-Event Review v20261014-2143-post</w:t>
      </w:r>
    </w:p>
    <w:p>
      <w:pPr>
        <w:pStyle w:val="BlockText"/>
      </w:pPr>
      <w:r>
        <w:t xml:space="preserve">✅ </w:t>
      </w:r>
      <w:r>
        <w:rPr>
          <w:rFonts w:hint="eastAsia"/>
        </w:rPr>
        <w:t xml:space="preserve">正式复盘（盘中版：市场数据截至</w:t>
      </w:r>
      <w:r>
        <w:t xml:space="preserve"> 09:43 </w:t>
      </w:r>
      <w:r>
        <w:rPr>
          <w:rFonts w:hint="eastAsia"/>
        </w:rPr>
        <w:t xml:space="preserve">ET，收盘后复核）｜事前书（锁定）：v20261013-1803，快照</w:t>
      </w:r>
      <w:r>
        <w:t xml:space="preserve"> </w:t>
      </w:r>
      <w:r>
        <w:rPr>
          <w:rFonts w:hint="eastAsia"/>
        </w:rPr>
        <w:t xml:space="preserve">2026-10-13T18:03:00+08:00｜发布时间</w:t>
      </w:r>
      <w:r>
        <w:t xml:space="preserve"> 2026-10-14 20:30 </w:t>
      </w:r>
      <w:r>
        <w:rPr>
          <w:rFonts w:hint="eastAsia"/>
        </w:rPr>
        <w:t xml:space="preserve">SGT｜数据来源：BLS</w:t>
      </w:r>
      <w:r>
        <w:t xml:space="preserve"> </w:t>
      </w:r>
      <w:r>
        <w:rPr>
          <w:rFonts w:hint="eastAsia"/>
        </w:rPr>
        <w:t xml:space="preserve">API；市场</w:t>
      </w:r>
      <w:r>
        <w:t xml:space="preserve"> </w:t>
      </w:r>
      <w:r>
        <w:rPr>
          <w:rFonts w:hint="eastAsia"/>
        </w:rPr>
        <w:t xml:space="preserve">yfinance（交易日</w:t>
      </w:r>
      <w:r>
        <w:t xml:space="preserve"> </w:t>
      </w:r>
      <w:r>
        <w:rPr>
          <w:rFonts w:hint="eastAsia"/>
        </w:rPr>
        <w:t xml:space="preserve">2026-10-14）｜</w:t>
      </w:r>
      <w:r>
        <w:rPr>
          <w:rFonts w:hint="eastAsia"/>
          <w:b/>
          <w:bCs/>
        </w:rPr>
        <w:t xml:space="preserve">非投资建议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9 </w:t>
      </w:r>
      <w:r>
        <w:rPr>
          <w:rFonts w:hint="eastAsia"/>
        </w:rPr>
        <w:t xml:space="preserve">月</w:t>
      </w:r>
      <w:r>
        <w:t xml:space="preserve"> CPI </w:t>
      </w:r>
      <w:r>
        <w:rPr>
          <w:rFonts w:hint="eastAsia"/>
        </w:rPr>
        <w:t xml:space="preserve">结果：核心环比</w:t>
      </w:r>
      <w:r>
        <w:t xml:space="preserve"> </w:t>
      </w:r>
      <w:r>
        <w:rPr>
          <w:rFonts w:hint="eastAsia"/>
        </w:rPr>
        <w:t xml:space="preserve">0.3%（共识</w:t>
      </w:r>
      <w:r>
        <w:t xml:space="preserve"> </w:t>
      </w:r>
      <w:r>
        <w:rPr>
          <w:rFonts w:hint="eastAsia"/>
        </w:rPr>
        <w:t xml:space="preserve">0.2%），分类</w:t>
      </w:r>
      <w:r>
        <w:t xml:space="preserve"> </w:t>
      </w:r>
      <w:r>
        <w:rPr>
          <w:b/>
          <w:bCs/>
        </w:rPr>
        <w:t xml:space="preserve">HOT </w:t>
      </w:r>
      <w:r>
        <w:rPr>
          <w:rFonts w:hint="eastAsia"/>
          <w:b/>
          <w:bCs/>
        </w:rPr>
        <w:t xml:space="preserve">偏热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t xml:space="preserve">10 </w:t>
      </w:r>
      <w:r>
        <w:rPr>
          <w:rFonts w:hint="eastAsia"/>
        </w:rPr>
        <w:t xml:space="preserve">年期变动</w:t>
      </w:r>
      <w:r>
        <w:t xml:space="preserve"> </w:t>
      </w:r>
      <w:r>
        <w:rPr>
          <w:rFonts w:hint="eastAsia"/>
        </w:rPr>
        <w:t xml:space="preserve">+8.7bp；事前我们说利率敏感股（CCL/ARM/SPCX…）受影响最大——下表检验。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对照事前假设逐环复盘：哪一环成立、哪一环断了，就是这次最大的学习点。</w:t>
      </w:r>
    </w:p>
    <w:bookmarkStart w:id="9" w:name="实际-vs-共识-vs-我们的事前假设"/>
    <w:p>
      <w:pPr>
        <w:pStyle w:val="Heading2"/>
      </w:pPr>
      <w:r>
        <w:t xml:space="preserve">1.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共识</w:t>
      </w:r>
      <w:r>
        <w:t xml:space="preserve"> vs </w:t>
      </w:r>
      <w:r>
        <w:rPr>
          <w:rFonts w:hint="eastAsia"/>
        </w:rPr>
        <w:t xml:space="preserve">我们的事前假设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共识(事前锁定)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本系统假设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意外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headline_mom</w:t>
            </w:r>
          </w:p>
        </w:tc>
        <w:tc>
          <w:tcPr/>
          <w:p>
            <w:pPr>
              <w:pStyle w:val="Compact"/>
            </w:pPr>
            <w:r>
              <w:t xml:space="preserve">0.6%</w:t>
            </w:r>
          </w:p>
        </w:tc>
        <w:tc>
          <w:tcPr/>
          <w:p>
            <w:pPr>
              <w:pStyle w:val="Compact"/>
            </w:pPr>
            <w:r>
              <w:t xml:space="preserve">0.6%</w:t>
            </w:r>
          </w:p>
        </w:tc>
        <w:tc>
          <w:tcPr/>
          <w:p>
            <w:pPr>
              <w:pStyle w:val="Compact"/>
            </w:pPr>
            <w:r>
              <w:t xml:space="preserve">0.58%</w:t>
            </w:r>
          </w:p>
        </w:tc>
        <w:tc>
          <w:tcPr/>
          <w:p>
            <w:pPr>
              <w:pStyle w:val="Compact"/>
            </w:pPr>
            <w:r>
              <w:t xml:space="preserve">+0.0pp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headline_yoy</w:t>
            </w:r>
          </w:p>
        </w:tc>
        <w:tc>
          <w:tcPr/>
          <w:p>
            <w:pPr>
              <w:pStyle w:val="Compact"/>
            </w:pPr>
            <w:r>
              <w:t xml:space="preserve">3.7%</w:t>
            </w:r>
          </w:p>
        </w:tc>
        <w:tc>
          <w:tcPr/>
          <w:p>
            <w:pPr>
              <w:pStyle w:val="Compact"/>
            </w:pPr>
            <w:r>
              <w:t xml:space="preserve">3.6%</w:t>
            </w:r>
          </w:p>
        </w:tc>
        <w:tc>
          <w:tcPr/>
          <w:p>
            <w:pPr>
              <w:pStyle w:val="Compact"/>
            </w:pPr>
            <w:r>
              <w:t xml:space="preserve">3.6%</w:t>
            </w:r>
          </w:p>
        </w:tc>
        <w:tc>
          <w:tcPr/>
          <w:p>
            <w:pPr>
              <w:pStyle w:val="Compact"/>
            </w:pPr>
            <w:r>
              <w:t xml:space="preserve">+0.1pp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core_mom</w:t>
            </w:r>
          </w:p>
        </w:tc>
        <w:tc>
          <w:tcPr/>
          <w:p>
            <w:pPr>
              <w:pStyle w:val="Compact"/>
            </w:pPr>
            <w:r>
              <w:t xml:space="preserve">0.3%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0.22%</w:t>
            </w:r>
          </w:p>
        </w:tc>
        <w:tc>
          <w:tcPr/>
          <w:p>
            <w:pPr>
              <w:pStyle w:val="Compact"/>
            </w:pPr>
            <w:r>
              <w:t xml:space="preserve">+0.1pp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core_yoy</w:t>
            </w:r>
          </w:p>
        </w:tc>
        <w:tc>
          <w:tcPr/>
          <w:p>
            <w:pPr>
              <w:pStyle w:val="Compact"/>
            </w:pPr>
            <w:r>
              <w:t xml:space="preserve">2.6%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2.4%</w:t>
            </w:r>
          </w:p>
        </w:tc>
        <w:tc>
          <w:tcPr/>
          <w:p>
            <w:pPr>
              <w:pStyle w:val="Compact"/>
            </w:pPr>
            <w:r>
              <w:t xml:space="preserve">+0.1pp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事前概率：偏冷</w:t>
      </w:r>
      <w:r>
        <w:t xml:space="preserve"> 25% / </w:t>
      </w:r>
      <w:r>
        <w:rPr>
          <w:rFonts w:hint="eastAsia"/>
        </w:rPr>
        <w:t xml:space="preserve">符合</w:t>
      </w:r>
      <w:r>
        <w:t xml:space="preserve"> 50% / </w:t>
      </w:r>
      <w:r>
        <w:rPr>
          <w:rFonts w:hint="eastAsia"/>
        </w:rPr>
        <w:t xml:space="preserve">偏热</w:t>
      </w:r>
      <w:r>
        <w:t xml:space="preserve"> 25% → </w:t>
      </w:r>
      <w:r>
        <w:rPr>
          <w:rFonts w:hint="eastAsia"/>
        </w:rPr>
        <w:t xml:space="preserve">结果：</w:t>
      </w:r>
      <w:r>
        <w:rPr>
          <w:b/>
          <w:bCs/>
        </w:rPr>
        <w:t xml:space="preserve">HOT </w:t>
      </w:r>
      <w:r>
        <w:rPr>
          <w:rFonts w:hint="eastAsia"/>
          <w:b/>
          <w:bCs/>
        </w:rPr>
        <w:t xml:space="preserve">偏热</w:t>
      </w:r>
    </w:p>
    <w:bookmarkEnd w:id="9"/>
    <w:bookmarkStart w:id="10" w:name="市场反应发布日盘中快照截至-0943-et非收盘"/>
    <w:p>
      <w:pPr>
        <w:pStyle w:val="Heading2"/>
      </w:pPr>
      <w:r>
        <w:t xml:space="preserve">2. </w:t>
      </w:r>
      <w:r>
        <w:rPr>
          <w:rFonts w:hint="eastAsia"/>
        </w:rPr>
        <w:t xml:space="preserve">市场反应（发布日盘中快照，截至</w:t>
      </w:r>
      <w:r>
        <w:t xml:space="preserve"> 09:43 </w:t>
      </w:r>
      <w:r>
        <w:rPr>
          <w:rFonts w:hint="eastAsia"/>
        </w:rPr>
        <w:t xml:space="preserve">ET｜非收盘）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</w:t>
            </w:r>
          </w:p>
        </w:tc>
        <w:tc>
          <w:tcPr/>
          <w:p>
            <w:pPr>
              <w:pStyle w:val="Compact"/>
            </w:pPr>
            <w:r>
              <w:t xml:space="preserve">5.30</w:t>
            </w:r>
          </w:p>
        </w:tc>
        <w:tc>
          <w:tcPr/>
          <w:p>
            <w:pPr>
              <w:pStyle w:val="Compact"/>
            </w:pPr>
            <w:r>
              <w:t xml:space="preserve">5.22</w:t>
            </w:r>
          </w:p>
        </w:tc>
        <w:tc>
          <w:tcPr/>
          <w:p>
            <w:pPr>
              <w:pStyle w:val="Compact"/>
            </w:pPr>
            <w:r>
              <w:t xml:space="preserve">+8.7bp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S&amp;P500</w:t>
            </w:r>
          </w:p>
        </w:tc>
        <w:tc>
          <w:tcPr/>
          <w:p>
            <w:pPr>
              <w:pStyle w:val="Compact"/>
            </w:pPr>
            <w:r>
              <w:t xml:space="preserve">7,784.46</w:t>
            </w:r>
          </w:p>
        </w:tc>
        <w:tc>
          <w:tcPr/>
          <w:p>
            <w:pPr>
              <w:pStyle w:val="Compact"/>
            </w:pPr>
            <w:r>
              <w:t xml:space="preserve">7,805.45</w:t>
            </w:r>
          </w:p>
        </w:tc>
        <w:tc>
          <w:tcPr/>
          <w:p>
            <w:pPr>
              <w:pStyle w:val="Compact"/>
            </w:pPr>
            <w:r>
              <w:t xml:space="preserve">-0.27%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NDX</w:t>
            </w:r>
          </w:p>
        </w:tc>
        <w:tc>
          <w:tcPr/>
          <w:p>
            <w:pPr>
              <w:pStyle w:val="Compact"/>
            </w:pPr>
            <w:r>
              <w:t xml:space="preserve">30,402.13</w:t>
            </w:r>
          </w:p>
        </w:tc>
        <w:tc>
          <w:tcPr/>
          <w:p>
            <w:pPr>
              <w:pStyle w:val="Compact"/>
            </w:pPr>
            <w:r>
              <w:t xml:space="preserve">30,569.48</w:t>
            </w:r>
          </w:p>
        </w:tc>
        <w:tc>
          <w:tcPr/>
          <w:p>
            <w:pPr>
              <w:pStyle w:val="Compact"/>
            </w:pPr>
            <w:r>
              <w:t xml:space="preserve">-0.55%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</w:t>
            </w:r>
          </w:p>
        </w:tc>
        <w:tc>
          <w:tcPr/>
          <w:p>
            <w:pPr>
              <w:pStyle w:val="Compact"/>
            </w:pPr>
            <w:r>
              <w:t xml:space="preserve">12,013.23</w:t>
            </w:r>
          </w:p>
        </w:tc>
        <w:tc>
          <w:tcPr/>
          <w:p>
            <w:pPr>
              <w:pStyle w:val="Compact"/>
            </w:pPr>
            <w:r>
              <w:t xml:space="preserve">12,208.79</w:t>
            </w:r>
          </w:p>
        </w:tc>
        <w:tc>
          <w:tcPr/>
          <w:p>
            <w:pPr>
              <w:pStyle w:val="Compact"/>
            </w:pPr>
            <w:r>
              <w:t xml:space="preserve">-1.60%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USDJPY</w:t>
            </w:r>
          </w:p>
        </w:tc>
        <w:tc>
          <w:tcPr/>
          <w:p>
            <w:pPr>
              <w:pStyle w:val="Compact"/>
            </w:pPr>
            <w:r>
              <w:t xml:space="preserve">158.52</w:t>
            </w:r>
          </w:p>
        </w:tc>
        <w:tc>
          <w:tcPr/>
          <w:p>
            <w:pPr>
              <w:pStyle w:val="Compact"/>
            </w:pPr>
            <w:r>
              <w:t xml:space="preserve">158.20</w:t>
            </w:r>
          </w:p>
        </w:tc>
        <w:tc>
          <w:tcPr/>
          <w:p>
            <w:pPr>
              <w:pStyle w:val="Compact"/>
            </w:pPr>
            <w:r>
              <w:t xml:space="preserve">+0.20%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</w:t>
            </w:r>
          </w:p>
        </w:tc>
        <w:tc>
          <w:tcPr/>
          <w:p>
            <w:pPr>
              <w:pStyle w:val="Compact"/>
            </w:pPr>
            <w:r>
              <w:t xml:space="preserve">15.83</w:t>
            </w:r>
          </w:p>
        </w:tc>
        <w:tc>
          <w:tcPr/>
          <w:p>
            <w:pPr>
              <w:pStyle w:val="Compact"/>
            </w:pPr>
            <w:r>
              <w:t xml:space="preserve">15.27</w:t>
            </w:r>
          </w:p>
        </w:tc>
        <w:tc>
          <w:tcPr/>
          <w:p>
            <w:pPr>
              <w:pStyle w:val="Compact"/>
            </w:pPr>
            <w:r>
              <w:t xml:space="preserve">+3.67%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事前（锁定）：10Y</w:t>
      </w:r>
      <w:r>
        <w:t xml:space="preserve"> 5.24%、2Y 4.75%、VIX 15.48、Kalshi 10 </w:t>
      </w:r>
      <w:r>
        <w:rPr>
          <w:rFonts w:hint="eastAsia"/>
        </w:rPr>
        <w:t xml:space="preserve">月加息</w:t>
      </w:r>
      <w:r>
        <w:t xml:space="preserve"> 20% / 12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</w:rPr>
        <w:t xml:space="preserve">73%（Kalshi</w:t>
      </w:r>
      <w:r>
        <w:t xml:space="preserve"> </w:t>
      </w:r>
      <w:r>
        <w:rPr>
          <w:rFonts w:hint="eastAsia"/>
        </w:rPr>
        <w:t xml:space="preserve">事后值需手动核对</w:t>
      </w:r>
      <w:r>
        <w:t xml:space="preserve"> → </w:t>
      </w:r>
      <w:r>
        <w:rPr>
          <w:rFonts w:hint="eastAsia"/>
        </w:rPr>
        <w:t xml:space="preserve">PENDING）。</w:t>
      </w:r>
    </w:p>
    <w:bookmarkEnd w:id="10"/>
    <w:bookmarkStart w:id="11" w:name="利率敏感度预测-vs-实际检验事前模型"/>
    <w:p>
      <w:pPr>
        <w:pStyle w:val="Heading2"/>
      </w:pPr>
      <w:r>
        <w:t xml:space="preserve">3. </w:t>
      </w:r>
      <w:r>
        <w:rPr>
          <w:rFonts w:hint="eastAsia"/>
        </w:rPr>
        <w:t xml:space="preserve">利率敏感度预测</w:t>
      </w:r>
      <w:r>
        <w:t xml:space="preserve"> vs </w:t>
      </w:r>
      <w:r>
        <w:rPr>
          <w:rFonts w:hint="eastAsia"/>
        </w:rPr>
        <w:t xml:space="preserve">实际（检验事前模型）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敏感度(每+10bp)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预测涨跌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实际涨跌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CCL</w:t>
            </w:r>
          </w:p>
        </w:tc>
        <w:tc>
          <w:tcPr/>
          <w:p>
            <w:pPr>
              <w:pStyle w:val="Compact"/>
            </w:pPr>
            <w:r>
              <w:t xml:space="preserve">-2.59%</w:t>
            </w:r>
          </w:p>
        </w:tc>
        <w:tc>
          <w:tcPr/>
          <w:p>
            <w:pPr>
              <w:pStyle w:val="Compact"/>
            </w:pPr>
            <w:r>
              <w:t xml:space="preserve">-2.25%</w:t>
            </w:r>
          </w:p>
        </w:tc>
        <w:tc>
          <w:tcPr/>
          <w:p>
            <w:pPr>
              <w:pStyle w:val="Compact"/>
            </w:pPr>
            <w:r>
              <w:t xml:space="preserve">-1.93%</w:t>
            </w:r>
          </w:p>
        </w:tc>
        <w:tc>
          <w:tcPr/>
          <w:p>
            <w:pPr>
              <w:pStyle w:val="Compact"/>
            </w:pPr>
            <w:r>
              <w:t xml:space="preserve">+0.33pp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-2.56%</w:t>
            </w:r>
          </w:p>
        </w:tc>
        <w:tc>
          <w:tcPr/>
          <w:p>
            <w:pPr>
              <w:pStyle w:val="Compact"/>
            </w:pPr>
            <w:r>
              <w:t xml:space="preserve">-2.23%</w:t>
            </w:r>
          </w:p>
        </w:tc>
        <w:tc>
          <w:tcPr/>
          <w:p>
            <w:pPr>
              <w:pStyle w:val="Compact"/>
            </w:pPr>
            <w:r>
              <w:t xml:space="preserve">-3.42%</w:t>
            </w:r>
          </w:p>
        </w:tc>
        <w:tc>
          <w:tcPr/>
          <w:p>
            <w:pPr>
              <w:pStyle w:val="Compact"/>
            </w:pPr>
            <w:r>
              <w:t xml:space="preserve">-1.19pp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SPCX</w:t>
            </w:r>
          </w:p>
        </w:tc>
        <w:tc>
          <w:tcPr/>
          <w:p>
            <w:pPr>
              <w:pStyle w:val="Compact"/>
            </w:pPr>
            <w:r>
              <w:t xml:space="preserve">-2.56%</w:t>
            </w:r>
          </w:p>
        </w:tc>
        <w:tc>
          <w:tcPr/>
          <w:p>
            <w:pPr>
              <w:pStyle w:val="Compact"/>
            </w:pPr>
            <w:r>
              <w:t xml:space="preserve">-2.23%</w:t>
            </w:r>
          </w:p>
        </w:tc>
        <w:tc>
          <w:tcPr/>
          <w:p>
            <w:pPr>
              <w:pStyle w:val="Compact"/>
            </w:pPr>
            <w:r>
              <w:t xml:space="preserve">-1.61%</w:t>
            </w:r>
          </w:p>
        </w:tc>
        <w:tc>
          <w:tcPr/>
          <w:p>
            <w:pPr>
              <w:pStyle w:val="Compact"/>
            </w:pPr>
            <w:r>
              <w:t xml:space="preserve">+0.62pp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MRVL</w:t>
            </w:r>
          </w:p>
        </w:tc>
        <w:tc>
          <w:tcPr/>
          <w:p>
            <w:pPr>
              <w:pStyle w:val="Compact"/>
            </w:pPr>
            <w:r>
              <w:t xml:space="preserve">-1.84%</w:t>
            </w:r>
          </w:p>
        </w:tc>
        <w:tc>
          <w:tcPr/>
          <w:p>
            <w:pPr>
              <w:pStyle w:val="Compact"/>
            </w:pPr>
            <w:r>
              <w:t xml:space="preserve">-1.60%</w:t>
            </w:r>
          </w:p>
        </w:tc>
        <w:tc>
          <w:tcPr/>
          <w:p>
            <w:pPr>
              <w:pStyle w:val="Compact"/>
            </w:pPr>
            <w:r>
              <w:t xml:space="preserve">-2.80%</w:t>
            </w:r>
          </w:p>
        </w:tc>
        <w:tc>
          <w:tcPr/>
          <w:p>
            <w:pPr>
              <w:pStyle w:val="Compact"/>
            </w:pPr>
            <w:r>
              <w:t xml:space="preserve">-1.20pp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RKLB</w:t>
            </w:r>
          </w:p>
        </w:tc>
        <w:tc>
          <w:tcPr/>
          <w:p>
            <w:pPr>
              <w:pStyle w:val="Compact"/>
            </w:pPr>
            <w:r>
              <w:t xml:space="preserve">-1.77%</w:t>
            </w:r>
          </w:p>
        </w:tc>
        <w:tc>
          <w:tcPr/>
          <w:p>
            <w:pPr>
              <w:pStyle w:val="Compact"/>
            </w:pPr>
            <w:r>
              <w:t xml:space="preserve">-1.54%</w:t>
            </w:r>
          </w:p>
        </w:tc>
        <w:tc>
          <w:tcPr/>
          <w:p>
            <w:pPr>
              <w:pStyle w:val="Compact"/>
            </w:pPr>
            <w:r>
              <w:t xml:space="preserve">-2.47%</w:t>
            </w:r>
          </w:p>
        </w:tc>
        <w:tc>
          <w:tcPr/>
          <w:p>
            <w:pPr>
              <w:pStyle w:val="Compact"/>
            </w:pPr>
            <w:r>
              <w:t xml:space="preserve">-0.93pp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INTC</w:t>
            </w:r>
          </w:p>
        </w:tc>
        <w:tc>
          <w:tcPr/>
          <w:p>
            <w:pPr>
              <w:pStyle w:val="Compact"/>
            </w:pPr>
            <w:r>
              <w:t xml:space="preserve">-1.53%</w:t>
            </w:r>
          </w:p>
        </w:tc>
        <w:tc>
          <w:tcPr/>
          <w:p>
            <w:pPr>
              <w:pStyle w:val="Compact"/>
            </w:pPr>
            <w:r>
              <w:t xml:space="preserve">-1.33%</w:t>
            </w:r>
          </w:p>
        </w:tc>
        <w:tc>
          <w:tcPr/>
          <w:p>
            <w:pPr>
              <w:pStyle w:val="Compact"/>
            </w:pPr>
            <w:r>
              <w:t xml:space="preserve">-1.66%</w:t>
            </w:r>
          </w:p>
        </w:tc>
        <w:tc>
          <w:tcPr/>
          <w:p>
            <w:pPr>
              <w:pStyle w:val="Compact"/>
            </w:pPr>
            <w:r>
              <w:t xml:space="preserve">-0.33pp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GLW</w:t>
            </w:r>
          </w:p>
        </w:tc>
        <w:tc>
          <w:tcPr/>
          <w:p>
            <w:pPr>
              <w:pStyle w:val="Compact"/>
            </w:pPr>
            <w:r>
              <w:t xml:space="preserve">-1.49%</w:t>
            </w:r>
          </w:p>
        </w:tc>
        <w:tc>
          <w:tcPr/>
          <w:p>
            <w:pPr>
              <w:pStyle w:val="Compact"/>
            </w:pPr>
            <w:r>
              <w:t xml:space="preserve">-1.30%</w:t>
            </w:r>
          </w:p>
        </w:tc>
        <w:tc>
          <w:tcPr/>
          <w:p>
            <w:pPr>
              <w:pStyle w:val="Compact"/>
            </w:pPr>
            <w:r>
              <w:t xml:space="preserve">-1.91%</w:t>
            </w:r>
          </w:p>
        </w:tc>
        <w:tc>
          <w:tcPr/>
          <w:p>
            <w:pPr>
              <w:pStyle w:val="Compact"/>
            </w:pPr>
            <w:r>
              <w:t xml:space="preserve">-0.61pp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KLAC</w:t>
            </w:r>
          </w:p>
        </w:tc>
        <w:tc>
          <w:tcPr/>
          <w:p>
            <w:pPr>
              <w:pStyle w:val="Compact"/>
            </w:pPr>
            <w:r>
              <w:t xml:space="preserve">-1.21%</w:t>
            </w:r>
          </w:p>
        </w:tc>
        <w:tc>
          <w:tcPr/>
          <w:p>
            <w:pPr>
              <w:pStyle w:val="Compact"/>
            </w:pPr>
            <w:r>
              <w:t xml:space="preserve">-1.05%</w:t>
            </w:r>
          </w:p>
        </w:tc>
        <w:tc>
          <w:tcPr/>
          <w:p>
            <w:pPr>
              <w:pStyle w:val="Compact"/>
            </w:pPr>
            <w:r>
              <w:t xml:space="preserve">-0.67%</w:t>
            </w:r>
          </w:p>
        </w:tc>
        <w:tc>
          <w:tcPr/>
          <w:p>
            <w:pPr>
              <w:pStyle w:val="Compact"/>
            </w:pPr>
            <w:r>
              <w:t xml:space="preserve">+0.39pp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CIEN</w:t>
            </w:r>
          </w:p>
        </w:tc>
        <w:tc>
          <w:tcPr/>
          <w:p>
            <w:pPr>
              <w:pStyle w:val="Compact"/>
            </w:pPr>
            <w:r>
              <w:t xml:space="preserve">-1.18%</w:t>
            </w:r>
          </w:p>
        </w:tc>
        <w:tc>
          <w:tcPr/>
          <w:p>
            <w:pPr>
              <w:pStyle w:val="Compact"/>
            </w:pPr>
            <w:r>
              <w:t xml:space="preserve">-1.03%</w:t>
            </w:r>
          </w:p>
        </w:tc>
        <w:tc>
          <w:tcPr/>
          <w:p>
            <w:pPr>
              <w:pStyle w:val="Compact"/>
            </w:pPr>
            <w:r>
              <w:t xml:space="preserve">-3.35%</w:t>
            </w:r>
          </w:p>
        </w:tc>
        <w:tc>
          <w:tcPr/>
          <w:p>
            <w:pPr>
              <w:pStyle w:val="Compact"/>
            </w:pPr>
            <w:r>
              <w:t xml:space="preserve">-2.32pp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QCOM</w:t>
            </w:r>
          </w:p>
        </w:tc>
        <w:tc>
          <w:tcPr/>
          <w:p>
            <w:pPr>
              <w:pStyle w:val="Compact"/>
            </w:pPr>
            <w:r>
              <w:t xml:space="preserve">-1.16%</w:t>
            </w:r>
          </w:p>
        </w:tc>
        <w:tc>
          <w:tcPr/>
          <w:p>
            <w:pPr>
              <w:pStyle w:val="Compact"/>
            </w:pPr>
            <w:r>
              <w:t xml:space="preserve">-1.01%</w:t>
            </w:r>
          </w:p>
        </w:tc>
        <w:tc>
          <w:tcPr/>
          <w:p>
            <w:pPr>
              <w:pStyle w:val="Compact"/>
            </w:pPr>
            <w:r>
              <w:t xml:space="preserve">-1.11%</w:t>
            </w:r>
          </w:p>
        </w:tc>
        <w:tc>
          <w:tcPr/>
          <w:p>
            <w:pPr>
              <w:pStyle w:val="Compact"/>
            </w:pPr>
            <w:r>
              <w:t xml:space="preserve">-0.10pp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AMD</w:t>
            </w:r>
          </w:p>
        </w:tc>
        <w:tc>
          <w:tcPr/>
          <w:p>
            <w:pPr>
              <w:pStyle w:val="Compact"/>
            </w:pPr>
            <w:r>
              <w:t xml:space="preserve">-1.05%</w:t>
            </w:r>
          </w:p>
        </w:tc>
        <w:tc>
          <w:tcPr/>
          <w:p>
            <w:pPr>
              <w:pStyle w:val="Compact"/>
            </w:pPr>
            <w:r>
              <w:t xml:space="preserve">-0.91%</w:t>
            </w:r>
          </w:p>
        </w:tc>
        <w:tc>
          <w:tcPr/>
          <w:p>
            <w:pPr>
              <w:pStyle w:val="Compact"/>
            </w:pPr>
            <w:r>
              <w:t xml:space="preserve">-2.95%</w:t>
            </w:r>
          </w:p>
        </w:tc>
        <w:tc>
          <w:tcPr/>
          <w:p>
            <w:pPr>
              <w:pStyle w:val="Compact"/>
            </w:pPr>
            <w:r>
              <w:t xml:space="preserve">-2.04pp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NDX</w:t>
            </w:r>
          </w:p>
        </w:tc>
        <w:tc>
          <w:tcPr/>
          <w:p>
            <w:pPr>
              <w:pStyle w:val="Compact"/>
            </w:pPr>
            <w:r>
              <w:t xml:space="preserve">-0.67%</w:t>
            </w:r>
          </w:p>
        </w:tc>
        <w:tc>
          <w:tcPr/>
          <w:p>
            <w:pPr>
              <w:pStyle w:val="Compact"/>
            </w:pPr>
            <w:r>
              <w:t xml:space="preserve">-0.58%</w:t>
            </w:r>
          </w:p>
        </w:tc>
        <w:tc>
          <w:tcPr/>
          <w:p>
            <w:pPr>
              <w:pStyle w:val="Compact"/>
            </w:pPr>
            <w:r>
              <w:t xml:space="preserve">-0.55%</w:t>
            </w:r>
          </w:p>
        </w:tc>
        <w:tc>
          <w:tcPr/>
          <w:p>
            <w:pPr>
              <w:pStyle w:val="Compact"/>
            </w:pPr>
            <w:r>
              <w:t xml:space="preserve">+0.04pp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</w:t>
            </w:r>
          </w:p>
        </w:tc>
        <w:tc>
          <w:tcPr/>
          <w:p>
            <w:pPr>
              <w:pStyle w:val="Compact"/>
            </w:pPr>
            <w:r>
              <w:t xml:space="preserve">-0.89%</w:t>
            </w:r>
          </w:p>
        </w:tc>
        <w:tc>
          <w:tcPr/>
          <w:p>
            <w:pPr>
              <w:pStyle w:val="Compact"/>
            </w:pPr>
            <w:r>
              <w:t xml:space="preserve">-0.77%</w:t>
            </w:r>
          </w:p>
        </w:tc>
        <w:tc>
          <w:tcPr/>
          <w:p>
            <w:pPr>
              <w:pStyle w:val="Compact"/>
            </w:pPr>
            <w:r>
              <w:t xml:space="preserve">-1.60%</w:t>
            </w:r>
          </w:p>
        </w:tc>
        <w:tc>
          <w:tcPr/>
          <w:p>
            <w:pPr>
              <w:pStyle w:val="Compact"/>
            </w:pPr>
            <w:r>
              <w:t xml:space="preserve">-0.83pp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怎么读：偏差大=当天有利率以外的驱动（行业新闻、个股消息）——事前已提示</w:t>
      </w:r>
      <w:r>
        <w:t xml:space="preserve"> R² </w:t>
      </w:r>
      <w:r>
        <w:rPr>
          <w:rFonts w:hint="eastAsia"/>
        </w:rPr>
        <w:t xml:space="preserve">很低。</w:t>
      </w:r>
    </w:p>
    <w:bookmarkEnd w:id="11"/>
    <w:bookmarkStart w:id="28" w:name="推理复盘逐环chain-post-mortem"/>
    <w:p>
      <w:pPr>
        <w:pStyle w:val="Heading2"/>
      </w:pPr>
      <w:r>
        <w:t xml:space="preserve">4. </w:t>
      </w:r>
      <w:r>
        <w:rPr>
          <w:rFonts w:hint="eastAsia"/>
        </w:rPr>
        <w:t xml:space="preserve">推理复盘（逐环）Chain</w:t>
      </w:r>
      <w:r>
        <w:t xml:space="preserve"> post-mortem</w:t>
      </w:r>
    </w:p>
    <w:p>
      <w:pPr>
        <w:pStyle w:val="BlockText"/>
      </w:pPr>
      <w:r>
        <w:t xml:space="preserve">⚠ </w:t>
      </w:r>
      <w:r>
        <w:rPr>
          <w:rFonts w:hint="eastAsia"/>
        </w:rPr>
        <w:t xml:space="preserve">时间口径：本节市场数据为</w:t>
      </w:r>
      <w:r>
        <w:rPr>
          <w:rFonts w:hint="eastAsia"/>
          <w:b/>
          <w:bCs/>
        </w:rPr>
        <w:t xml:space="preserve">盘中快照</w:t>
      </w:r>
      <w:r>
        <w:rPr>
          <w:rFonts w:hint="eastAsia"/>
        </w:rPr>
        <w:t xml:space="preserve">（公布后约</w:t>
      </w:r>
      <w:r>
        <w:t xml:space="preserve"> 45–65 </w:t>
      </w:r>
      <w:r>
        <w:rPr>
          <w:rFonts w:hint="eastAsia"/>
        </w:rPr>
        <w:t xml:space="preserve">分钟，09:15–09:35</w:t>
      </w:r>
      <w:r>
        <w:t xml:space="preserve"> </w:t>
      </w:r>
      <w:r>
        <w:rPr>
          <w:rFonts w:hint="eastAsia"/>
        </w:rPr>
        <w:t xml:space="preserve">ET），</w:t>
      </w:r>
      <w:r>
        <w:rPr>
          <w:rFonts w:hint="eastAsia"/>
          <w:b/>
          <w:bCs/>
        </w:rPr>
        <w:t xml:space="preserve">不是收盘</w:t>
      </w:r>
      <w:r>
        <w:rPr>
          <w:rFonts w:hint="eastAsia"/>
        </w:rPr>
        <w:t xml:space="preserve">。收盘复核在美股收盘后（10/15</w:t>
      </w:r>
      <w:r>
        <w:t xml:space="preserve"> 04:00 </w:t>
      </w:r>
      <w:r>
        <w:rPr>
          <w:rFonts w:hint="eastAsia"/>
        </w:rPr>
        <w:t xml:space="preserve">MYT）进行。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①CPI意外→美联储预期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</w:t>
            </w:r>
            <w:r>
              <w:rPr>
                <w:rFonts w:hint="eastAsia"/>
              </w:rPr>
              <w:t xml:space="preserve">0.335%（共识</w:t>
            </w:r>
            <w:r>
              <w:t xml:space="preserve"> </w:t>
            </w:r>
            <w:r>
              <w:rPr>
                <w:rFonts w:hint="eastAsia"/>
              </w:rPr>
              <w:t xml:space="preserve">0.2%）；Kalshi</w:t>
            </w:r>
            <w:r>
              <w:t xml:space="preserve"> 10 </w:t>
            </w:r>
            <w:r>
              <w:rPr>
                <w:rFonts w:hint="eastAsia"/>
              </w:rPr>
              <w:t xml:space="preserve">月加息</w:t>
            </w:r>
            <w:r>
              <w:t xml:space="preserve"> </w:t>
            </w:r>
            <w:r>
              <w:rPr>
                <w:rFonts w:hint="eastAsia"/>
              </w:rPr>
              <w:t xml:space="preserve">18%→47%（+29pp）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市场对”连续两个月偏热”的反应大于单月意外的线性外推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②→2年期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成立</w:t>
            </w:r>
          </w:p>
        </w:tc>
        <w:tc>
          <w:tcPr/>
          <w:p>
            <w:pPr>
              <w:pStyle w:val="Compact"/>
            </w:pPr>
            <w:r>
              <w:t xml:space="preserve">2Y </w:t>
            </w:r>
            <w:r>
              <w:rPr>
                <w:rFonts w:hint="eastAsia"/>
              </w:rPr>
              <w:t xml:space="preserve">4.793%→4.903%（+11bp，盘中高</w:t>
            </w:r>
            <w:r>
              <w:t xml:space="preserve"> </w:t>
            </w:r>
            <w:r>
              <w:rPr>
                <w:rFonts w:hint="eastAsia"/>
              </w:rPr>
              <w:t xml:space="preserve">4.952%；Tradeweb</w:t>
            </w:r>
            <w:r>
              <w:t xml:space="preserve"> </w:t>
            </w:r>
            <w:r>
              <w:rPr>
                <w:rFonts w:hint="eastAsia"/>
              </w:rPr>
              <w:t xml:space="preserve">经</w:t>
            </w:r>
            <w:r>
              <w:t xml:space="preserve"> CNBC 09:33 </w:t>
            </w:r>
            <w:r>
              <w:rPr>
                <w:rFonts w:hint="eastAsia"/>
              </w:rPr>
              <w:t xml:space="preserve">ET）；ZT</w:t>
            </w:r>
            <w:r>
              <w:t xml:space="preserve"> </w:t>
            </w:r>
            <w:r>
              <w:rPr>
                <w:rFonts w:hint="eastAsia"/>
              </w:rPr>
              <w:t xml:space="preserve">期货估算距公布前约</w:t>
            </w:r>
            <w:r>
              <w:t xml:space="preserve"> +14bp</w:t>
            </w:r>
          </w:p>
        </w:tc>
        <w:tc>
          <w:tcPr/>
          <w:p>
            <w:pPr>
              <w:pStyle w:val="Compact"/>
            </w:pPr>
            <w:r>
              <w:t xml:space="preserve">2Y = </w:t>
            </w:r>
            <w:r>
              <w:rPr>
                <w:rFonts w:hint="eastAsia"/>
              </w:rPr>
              <w:t xml:space="preserve">市场对</w:t>
            </w:r>
            <w:r>
              <w:t xml:space="preserve"> Fed </w:t>
            </w:r>
            <w:r>
              <w:rPr>
                <w:rFonts w:hint="eastAsia"/>
              </w:rPr>
              <w:t xml:space="preserve">路径的投票，≥+8bp</w:t>
            </w:r>
            <w:r>
              <w:t xml:space="preserve"> </w:t>
            </w:r>
            <w:r>
              <w:rPr>
                <w:rFonts w:hint="eastAsia"/>
              </w:rPr>
              <w:t xml:space="preserve">阈值明确触发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③→10年期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成立</w:t>
            </w:r>
          </w:p>
        </w:tc>
        <w:tc>
          <w:tcPr/>
          <w:p>
            <w:pPr>
              <w:pStyle w:val="Compact"/>
            </w:pPr>
            <w:r>
              <w:t xml:space="preserve">10Y 08:29 5.19% → 09:15 </w:t>
            </w:r>
            <w:r>
              <w:rPr>
                <w:rFonts w:hint="eastAsia"/>
              </w:rPr>
              <w:t xml:space="preserve">5.312%（+12.2bp），与</w:t>
            </w:r>
            <w:r>
              <w:t xml:space="preserve"> 2Y </w:t>
            </w:r>
            <w:r>
              <w:rPr>
                <w:rFonts w:hint="eastAsia"/>
              </w:rPr>
              <w:t xml:space="preserve">同向；5Y</w:t>
            </w:r>
            <w:r>
              <w:t xml:space="preserve"> +14.9bp </w:t>
            </w:r>
            <w:r>
              <w:rPr>
                <w:rFonts w:hint="eastAsia"/>
              </w:rPr>
              <w:t xml:space="preserve">领涨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腹部（5Y）最敏感：市场重定价的是”未来</w:t>
            </w:r>
            <w:r>
              <w:t xml:space="preserve"> 1–3 </w:t>
            </w:r>
            <w:r>
              <w:rPr>
                <w:rFonts w:hint="eastAsia"/>
              </w:rPr>
              <w:t xml:space="preserve">年加息路径”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④→折现率/估值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长久期股领跌（CRWD</w:t>
            </w:r>
            <w:r>
              <w:t xml:space="preserve"> -4.4%、ARM </w:t>
            </w:r>
            <w:r>
              <w:rPr>
                <w:rFonts w:hint="eastAsia"/>
              </w:rPr>
              <w:t xml:space="preserve">-3.2%），但</w:t>
            </w:r>
            <w:r>
              <w:t xml:space="preserve"> AAPL +1.3%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折现率上升并非均匀作用；资金在高久期与防御型大盘股之间轮动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⑤→个股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方向对、幅度散</w:t>
            </w:r>
          </w:p>
        </w:tc>
        <w:tc>
          <w:tcPr/>
          <w:p>
            <w:pPr>
              <w:pStyle w:val="Compact"/>
            </w:pPr>
            <w:r>
              <w:t xml:space="preserve">SOX </w:t>
            </w:r>
            <w:r>
              <w:rPr>
                <w:rFonts w:hint="eastAsia"/>
              </w:rPr>
              <w:t xml:space="preserve">开盘</w:t>
            </w:r>
            <w:r>
              <w:t xml:space="preserve"> -1.77% ≈ </w:t>
            </w:r>
            <w:r>
              <w:rPr>
                <w:rFonts w:hint="eastAsia"/>
              </w:rPr>
              <w:t xml:space="preserve">敏感度模型预测（约</w:t>
            </w:r>
            <w:r>
              <w:t xml:space="preserve"> </w:t>
            </w:r>
            <w:r>
              <w:rPr>
                <w:rFonts w:hint="eastAsia"/>
              </w:rPr>
              <w:t xml:space="preserve">−0.85%）的</w:t>
            </w:r>
            <w:r>
              <w:t xml:space="preserve"> 2 </w:t>
            </w:r>
            <w:r>
              <w:rPr>
                <w:rFonts w:hint="eastAsia"/>
              </w:rPr>
              <w:t xml:space="preserve">倍；CRWV</w:t>
            </w:r>
            <w:r>
              <w:t xml:space="preserve"> </w:t>
            </w:r>
            <w:r>
              <w:rPr>
                <w:rFonts w:hint="eastAsia"/>
              </w:rPr>
              <w:t xml:space="preserve">-11.7%（公布前已约</w:t>
            </w:r>
            <w:r>
              <w:t xml:space="preserve"> </w:t>
            </w:r>
            <w:r>
              <w:rPr>
                <w:rFonts w:hint="eastAsia"/>
              </w:rPr>
              <w:t xml:space="preserve">−4%，AI</w:t>
            </w:r>
            <w:r>
              <w:t xml:space="preserve"> </w:t>
            </w:r>
            <w:r>
              <w:rPr>
                <w:rFonts w:hint="eastAsia"/>
              </w:rPr>
              <w:t xml:space="preserve">债务叙事）</w:t>
            </w:r>
          </w:p>
        </w:tc>
        <w:tc>
          <w:tcPr/>
          <w:p>
            <w:pPr>
              <w:pStyle w:val="Compact"/>
            </w:pPr>
            <w:r>
              <w:t xml:space="preserve">R² </w:t>
            </w:r>
            <w:r>
              <w:rPr>
                <w:rFonts w:hint="eastAsia"/>
              </w:rPr>
              <w:t xml:space="preserve">低的模型只能给方向；个股消息（信用、业绩）会盖过利率</w:t>
            </w:r>
          </w:p>
        </w:tc>
      </w:tr>
    </w:tbl>
    <w:bookmarkStart w:id="12" w:name="a.-分项拆解bls-季调指数自算环比"/>
    <w:p>
      <w:pPr>
        <w:pStyle w:val="Heading3"/>
      </w:pPr>
      <w:r>
        <w:t xml:space="preserve">4a. </w:t>
      </w:r>
      <w:r>
        <w:rPr>
          <w:rFonts w:hint="eastAsia"/>
        </w:rPr>
        <w:t xml:space="preserve">分项拆解（BLS</w:t>
      </w:r>
      <w:r>
        <w:t xml:space="preserve"> </w:t>
      </w:r>
      <w:r>
        <w:rPr>
          <w:rFonts w:hint="eastAsia"/>
        </w:rPr>
        <w:t xml:space="preserve">季调指数自算环比）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分项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汽油</w:t>
            </w:r>
            <w:r>
              <w:t xml:space="preserve"> Gasoline</w:t>
            </w:r>
          </w:p>
        </w:tc>
        <w:tc>
          <w:tcPr/>
          <w:p>
            <w:pPr>
              <w:pStyle w:val="Compact"/>
            </w:pPr>
            <w:r>
              <w:t xml:space="preserve">+9.09%</w:t>
            </w:r>
          </w:p>
        </w:tc>
        <w:tc>
          <w:tcPr/>
          <w:p>
            <w:pPr>
              <w:pStyle w:val="Compact"/>
            </w:pPr>
            <w:r>
              <w:t xml:space="preserve">+3.90%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</w:t>
            </w:r>
            <w:r>
              <w:t xml:space="preserve"> Energy</w:t>
            </w:r>
          </w:p>
        </w:tc>
        <w:tc>
          <w:tcPr/>
          <w:p>
            <w:pPr>
              <w:pStyle w:val="Compact"/>
            </w:pPr>
            <w:r>
              <w:t xml:space="preserve">+5.20%</w:t>
            </w:r>
          </w:p>
        </w:tc>
        <w:tc>
          <w:tcPr/>
          <w:p>
            <w:pPr>
              <w:pStyle w:val="Compact"/>
            </w:pPr>
            <w:r>
              <w:t xml:space="preserve">+2.10%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住房</w:t>
            </w:r>
            <w:r>
              <w:t xml:space="preserve"> Shelter</w:t>
            </w:r>
          </w:p>
        </w:tc>
        <w:tc>
          <w:tcPr/>
          <w:p>
            <w:pPr>
              <w:pStyle w:val="Compact"/>
            </w:pPr>
            <w:r>
              <w:t xml:space="preserve">+0.39%</w:t>
            </w:r>
          </w:p>
        </w:tc>
        <w:tc>
          <w:tcPr/>
          <w:p>
            <w:pPr>
              <w:pStyle w:val="Compact"/>
            </w:pPr>
            <w:r>
              <w:t xml:space="preserve">+0.26%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业主等价租金</w:t>
            </w:r>
            <w:r>
              <w:t xml:space="preserve"> OER</w:t>
            </w:r>
          </w:p>
        </w:tc>
        <w:tc>
          <w:tcPr/>
          <w:p>
            <w:pPr>
              <w:pStyle w:val="Compact"/>
            </w:pPr>
            <w:r>
              <w:t xml:space="preserve">+0.35%</w:t>
            </w:r>
          </w:p>
        </w:tc>
        <w:tc>
          <w:tcPr/>
          <w:p>
            <w:pPr>
              <w:pStyle w:val="Compact"/>
            </w:pPr>
            <w:r>
              <w:t xml:space="preserve">+0.19%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房租</w:t>
            </w:r>
            <w:r>
              <w:t xml:space="preserve"> Rent of primary residence</w:t>
            </w:r>
          </w:p>
        </w:tc>
        <w:tc>
          <w:tcPr/>
          <w:p>
            <w:pPr>
              <w:pStyle w:val="Compact"/>
            </w:pPr>
            <w:r>
              <w:t xml:space="preserve">+0.25%</w:t>
            </w:r>
          </w:p>
        </w:tc>
        <w:tc>
          <w:tcPr/>
          <w:p>
            <w:pPr>
              <w:pStyle w:val="Compact"/>
            </w:pPr>
            <w:r>
              <w:t xml:space="preserve">+0.17%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核心服务</w:t>
            </w:r>
            <w:r>
              <w:t xml:space="preserve"> Services less energy svcs</w:t>
            </w:r>
          </w:p>
        </w:tc>
        <w:tc>
          <w:tcPr/>
          <w:p>
            <w:pPr>
              <w:pStyle w:val="Compact"/>
            </w:pPr>
            <w:r>
              <w:t xml:space="preserve">+0.37%</w:t>
            </w:r>
          </w:p>
        </w:tc>
        <w:tc>
          <w:tcPr/>
          <w:p>
            <w:pPr>
              <w:pStyle w:val="Compact"/>
            </w:pPr>
            <w:r>
              <w:t xml:space="preserve">+0.33%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核心商品</w:t>
            </w:r>
            <w:r>
              <w:t xml:space="preserve"> Core goods</w:t>
            </w:r>
          </w:p>
        </w:tc>
        <w:tc>
          <w:tcPr/>
          <w:p>
            <w:pPr>
              <w:pStyle w:val="Compact"/>
            </w:pPr>
            <w:r>
              <w:t xml:space="preserve">+0.25%</w:t>
            </w:r>
          </w:p>
        </w:tc>
        <w:tc>
          <w:tcPr/>
          <w:p>
            <w:pPr>
              <w:pStyle w:val="Compact"/>
            </w:pPr>
            <w:r>
              <w:t xml:space="preserve">+0.11%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二手车</w:t>
            </w:r>
            <w:r>
              <w:t xml:space="preserve"> Used cars</w:t>
            </w:r>
          </w:p>
        </w:tc>
        <w:tc>
          <w:tcPr/>
          <w:p>
            <w:pPr>
              <w:pStyle w:val="Compact"/>
            </w:pPr>
            <w:r>
              <w:t xml:space="preserve">+0.67%</w:t>
            </w:r>
          </w:p>
        </w:tc>
        <w:tc>
          <w:tcPr/>
          <w:p>
            <w:pPr>
              <w:pStyle w:val="Compact"/>
            </w:pPr>
            <w:r>
              <w:t xml:space="preserve">+0.36%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服装</w:t>
            </w:r>
            <w:r>
              <w:t xml:space="preserve"> Apparel</w:t>
            </w:r>
          </w:p>
        </w:tc>
        <w:tc>
          <w:tcPr/>
          <w:p>
            <w:pPr>
              <w:pStyle w:val="Compact"/>
            </w:pPr>
            <w:r>
              <w:t xml:space="preserve">+0.31%</w:t>
            </w:r>
          </w:p>
        </w:tc>
        <w:tc>
          <w:tcPr/>
          <w:p>
            <w:pPr>
              <w:pStyle w:val="Compact"/>
            </w:pPr>
            <w:r>
              <w:t xml:space="preserve">+0.02%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机票</w:t>
            </w:r>
            <w:r>
              <w:t xml:space="preserve"> Airline fares</w:t>
            </w:r>
          </w:p>
        </w:tc>
        <w:tc>
          <w:tcPr/>
          <w:p>
            <w:pPr>
              <w:pStyle w:val="Compact"/>
            </w:pPr>
            <w:r>
              <w:t xml:space="preserve">+1.16%</w:t>
            </w:r>
          </w:p>
        </w:tc>
        <w:tc>
          <w:tcPr/>
          <w:p>
            <w:pPr>
              <w:pStyle w:val="Compact"/>
            </w:pPr>
            <w:r>
              <w:t xml:space="preserve">+2.68%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交通服务</w:t>
            </w:r>
            <w:r>
              <w:t xml:space="preserve"> Transportation services</w:t>
            </w:r>
          </w:p>
        </w:tc>
        <w:tc>
          <w:tcPr/>
          <w:p>
            <w:pPr>
              <w:pStyle w:val="Compact"/>
            </w:pPr>
            <w:r>
              <w:t xml:space="preserve">+0.58%</w:t>
            </w:r>
          </w:p>
        </w:tc>
        <w:tc>
          <w:tcPr/>
          <w:p>
            <w:pPr>
              <w:pStyle w:val="Compact"/>
            </w:pPr>
            <w:r>
              <w:t xml:space="preserve">+0.45%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医疗服务</w:t>
            </w:r>
            <w:r>
              <w:t xml:space="preserve"> Medical care services</w:t>
            </w:r>
          </w:p>
        </w:tc>
        <w:tc>
          <w:tcPr/>
          <w:p>
            <w:pPr>
              <w:pStyle w:val="Compact"/>
            </w:pPr>
            <w:r>
              <w:t xml:space="preserve">+0.28%</w:t>
            </w:r>
          </w:p>
        </w:tc>
        <w:tc>
          <w:tcPr/>
          <w:p>
            <w:pPr>
              <w:pStyle w:val="Compact"/>
            </w:pPr>
            <w:r>
              <w:t xml:space="preserve">-0.25%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车险</w:t>
            </w:r>
            <w:r>
              <w:t xml:space="preserve"> Motor vehicle insurance</w:t>
            </w:r>
          </w:p>
        </w:tc>
        <w:tc>
          <w:tcPr/>
          <w:p>
            <w:pPr>
              <w:pStyle w:val="Compact"/>
            </w:pPr>
            <w:r>
              <w:t xml:space="preserve">+0.07%</w:t>
            </w:r>
          </w:p>
        </w:tc>
        <w:tc>
          <w:tcPr/>
          <w:p>
            <w:pPr>
              <w:pStyle w:val="Compact"/>
            </w:pPr>
            <w:r>
              <w:t xml:space="preserve">-0.75%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信息技术/无线</w:t>
            </w:r>
            <w:r>
              <w:t xml:space="preserve"> IT</w:t>
            </w:r>
          </w:p>
        </w:tc>
        <w:tc>
          <w:tcPr/>
          <w:p>
            <w:pPr>
              <w:pStyle w:val="Compact"/>
            </w:pPr>
            <w:r>
              <w:t xml:space="preserve">-0.31%</w:t>
            </w:r>
          </w:p>
        </w:tc>
        <w:tc>
          <w:tcPr/>
          <w:p>
            <w:pPr>
              <w:pStyle w:val="Compact"/>
            </w:pPr>
            <w:r>
              <w:t xml:space="preserve">-0.32%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家庭食品</w:t>
            </w:r>
            <w:r>
              <w:t xml:space="preserve"> Food at home</w:t>
            </w:r>
          </w:p>
        </w:tc>
        <w:tc>
          <w:tcPr/>
          <w:p>
            <w:pPr>
              <w:pStyle w:val="Compact"/>
            </w:pPr>
            <w:r>
              <w:t xml:space="preserve">-0.07%</w:t>
            </w:r>
          </w:p>
        </w:tc>
        <w:tc>
          <w:tcPr/>
          <w:p>
            <w:pPr>
              <w:pStyle w:val="Compact"/>
            </w:pPr>
            <w:r>
              <w:t xml:space="preserve">+0.04%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核心</w:t>
      </w:r>
      <w:r>
        <w:t xml:space="preserve"> 3 </w:t>
      </w:r>
      <w:r>
        <w:rPr>
          <w:rFonts w:hint="eastAsia"/>
        </w:rPr>
        <w:t xml:space="preserve">个月年化</w:t>
      </w:r>
      <w:r>
        <w:t xml:space="preserve"> </w:t>
      </w:r>
      <w:r>
        <w:rPr>
          <w:b/>
          <w:bCs/>
        </w:rPr>
        <w:t xml:space="preserve">3.4%</w:t>
      </w:r>
      <w:r>
        <w:rPr>
          <w:rFonts w:hint="eastAsia"/>
        </w:rPr>
        <w:t xml:space="preserve">（7–9</w:t>
      </w:r>
      <w:r>
        <w:t xml:space="preserve"> </w:t>
      </w:r>
      <w:r>
        <w:rPr>
          <w:rFonts w:hint="eastAsia"/>
        </w:rPr>
        <w:t xml:space="preserve">月：0.215%</w:t>
      </w:r>
      <w:r>
        <w:t xml:space="preserve"> / 0.290% / </w:t>
      </w:r>
      <w:r>
        <w:rPr>
          <w:rFonts w:hint="eastAsia"/>
        </w:rPr>
        <w:t xml:space="preserve">0.335%），6</w:t>
      </w:r>
      <w:r>
        <w:t xml:space="preserve"> </w:t>
      </w:r>
      <w:r>
        <w:rPr>
          <w:rFonts w:hint="eastAsia"/>
        </w:rPr>
        <w:t xml:space="preserve">个月年化</w:t>
      </w:r>
      <w:r>
        <w:t xml:space="preserve"> </w:t>
      </w:r>
      <w:r>
        <w:rPr>
          <w:rFonts w:hint="eastAsia"/>
        </w:rPr>
        <w:t xml:space="preserve">2.9%（估算，BLS</w:t>
      </w:r>
      <w:r>
        <w:t xml:space="preserve"> </w:t>
      </w:r>
      <w:r>
        <w:rPr>
          <w:rFonts w:hint="eastAsia"/>
        </w:rPr>
        <w:t xml:space="preserve">季调核心指数）。事前书写”若核心</w:t>
      </w:r>
      <w:r>
        <w:t xml:space="preserve"> </w:t>
      </w:r>
      <w:r>
        <w:rPr>
          <w:rFonts w:hint="eastAsia"/>
        </w:rPr>
        <w:t xml:space="preserve">0.22%，3</w:t>
      </w:r>
      <w:r>
        <w:t xml:space="preserve"> </w:t>
      </w:r>
      <w:r>
        <w:rPr>
          <w:rFonts w:hint="eastAsia"/>
        </w:rPr>
        <w:t xml:space="preserve">个月年化约</w:t>
      </w:r>
      <w:r>
        <w:t xml:space="preserve"> </w:t>
      </w:r>
      <w:r>
        <w:rPr>
          <w:rFonts w:hint="eastAsia"/>
        </w:rPr>
        <w:t xml:space="preserve">2.9%“——实际动能更强。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汽油贡献整体涨幅一半以上（BLS</w:t>
      </w:r>
      <w:r>
        <w:t xml:space="preserve"> </w:t>
      </w:r>
      <w:r>
        <w:rPr>
          <w:rFonts w:hint="eastAsia"/>
        </w:rPr>
        <w:t xml:space="preserve">新闻稿，经</w:t>
      </w:r>
      <w:r>
        <w:t xml:space="preserve"> Quartz/Axios 10/14 </w:t>
      </w:r>
      <w:r>
        <w:rPr>
          <w:rFonts w:hint="eastAsia"/>
        </w:rPr>
        <w:t xml:space="preserve">转述）。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超级核心（核心服务剔除住房）：BLS</w:t>
      </w:r>
      <w:r>
        <w:t xml:space="preserve"> </w:t>
      </w:r>
      <w:r>
        <w:rPr>
          <w:rFonts w:hint="eastAsia"/>
        </w:rPr>
        <w:t xml:space="preserve">不直接发布；按住房约占核心服务</w:t>
      </w:r>
      <w:r>
        <w:t xml:space="preserve"> 58% </w:t>
      </w:r>
      <w:r>
        <w:rPr>
          <w:rFonts w:hint="eastAsia"/>
        </w:rPr>
        <w:t xml:space="preserve">粗估</w:t>
      </w:r>
      <w:r>
        <w:t xml:space="preserve"> </w:t>
      </w:r>
      <w:r>
        <w:rPr>
          <w:rFonts w:hint="eastAsia"/>
        </w:rPr>
        <w:t xml:space="preserve">≈0.34%（</w:t>
      </w:r>
      <w:r>
        <w:rPr>
          <w:rFonts w:hint="eastAsia"/>
          <w:b/>
          <w:bCs/>
        </w:rPr>
        <w:t xml:space="preserve">估算</w:t>
      </w:r>
      <w:r>
        <w:rPr>
          <w:rFonts w:hint="eastAsia"/>
        </w:rPr>
        <w:t xml:space="preserve">，接近但未超过事前</w:t>
      </w:r>
      <w:r>
        <w:t xml:space="preserve"> &gt;0.35% </w:t>
      </w:r>
      <w:r>
        <w:rPr>
          <w:rFonts w:hint="eastAsia"/>
        </w:rPr>
        <w:t xml:space="preserve">阈值）。</w:t>
      </w:r>
    </w:p>
    <w:bookmarkEnd w:id="12"/>
    <w:bookmarkStart w:id="13" w:name="b.-首-45-分钟市场反应0829-0915-etyfinance-1-分钟线"/>
    <w:p>
      <w:pPr>
        <w:pStyle w:val="Heading3"/>
      </w:pPr>
      <w:r>
        <w:t xml:space="preserve">4b. </w:t>
      </w:r>
      <w:r>
        <w:rPr>
          <w:rFonts w:hint="eastAsia"/>
        </w:rPr>
        <w:t xml:space="preserve">首</w:t>
      </w:r>
      <w:r>
        <w:t xml:space="preserve"> 45 </w:t>
      </w:r>
      <w:r>
        <w:rPr>
          <w:rFonts w:hint="eastAsia"/>
        </w:rPr>
        <w:t xml:space="preserve">分钟市场反应（08:29</w:t>
      </w:r>
      <w:r>
        <w:t xml:space="preserve"> → 09:15 </w:t>
      </w:r>
      <w:r>
        <w:rPr>
          <w:rFonts w:hint="eastAsia"/>
        </w:rPr>
        <w:t xml:space="preserve">ET，yfinance</w:t>
      </w:r>
      <w:r>
        <w:t xml:space="preserve"> 1 </w:t>
      </w:r>
      <w:r>
        <w:rPr>
          <w:rFonts w:hint="eastAsia"/>
        </w:rPr>
        <w:t xml:space="preserve">分钟线）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公布前</w:t>
            </w:r>
            <w:r>
              <w:t xml:space="preserve"> 08:29</w:t>
            </w:r>
          </w:p>
        </w:tc>
        <w:tc>
          <w:tcPr/>
          <w:p>
            <w:pPr>
              <w:pStyle w:val="Compact"/>
            </w:pPr>
            <w:r>
              <w:t xml:space="preserve">09:15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(^TNX)</w:t>
            </w:r>
          </w:p>
        </w:tc>
        <w:tc>
          <w:tcPr/>
          <w:p>
            <w:pPr>
              <w:pStyle w:val="Compact"/>
            </w:pPr>
            <w:r>
              <w:t xml:space="preserve">5.190%</w:t>
            </w:r>
          </w:p>
        </w:tc>
        <w:tc>
          <w:tcPr/>
          <w:p>
            <w:pPr>
              <w:pStyle w:val="Compact"/>
            </w:pPr>
            <w:r>
              <w:t xml:space="preserve">5.312%</w:t>
            </w:r>
          </w:p>
        </w:tc>
        <w:tc>
          <w:tcPr/>
          <w:p>
            <w:pPr>
              <w:pStyle w:val="Compact"/>
            </w:pPr>
            <w:r>
              <w:t xml:space="preserve">+12.2bp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5Y (^FVX)</w:t>
            </w:r>
          </w:p>
        </w:tc>
        <w:tc>
          <w:tcPr/>
          <w:p>
            <w:pPr>
              <w:pStyle w:val="Compact"/>
            </w:pPr>
            <w:r>
              <w:t xml:space="preserve">4.980%</w:t>
            </w:r>
          </w:p>
        </w:tc>
        <w:tc>
          <w:tcPr/>
          <w:p>
            <w:pPr>
              <w:pStyle w:val="Compact"/>
            </w:pPr>
            <w:r>
              <w:t xml:space="preserve">5.129%</w:t>
            </w:r>
          </w:p>
        </w:tc>
        <w:tc>
          <w:tcPr/>
          <w:p>
            <w:pPr>
              <w:pStyle w:val="Compact"/>
            </w:pPr>
            <w:r>
              <w:t xml:space="preserve">+14.9bp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2Y </w:t>
            </w:r>
            <w:r>
              <w:rPr>
                <w:rFonts w:hint="eastAsia"/>
              </w:rPr>
              <w:t xml:space="preserve">现货（Tradeweb/CNBC，vs</w:t>
            </w:r>
            <w:r>
              <w:t xml:space="preserve"> </w:t>
            </w:r>
            <w:r>
              <w:rPr>
                <w:rFonts w:hint="eastAsia"/>
              </w:rPr>
              <w:t xml:space="preserve">前收）</w:t>
            </w:r>
          </w:p>
        </w:tc>
        <w:tc>
          <w:tcPr/>
          <w:p>
            <w:pPr>
              <w:pStyle w:val="Compact"/>
            </w:pPr>
            <w:r>
              <w:t xml:space="preserve">4.793%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4.903%（09:33）</w:t>
            </w:r>
          </w:p>
        </w:tc>
        <w:tc>
          <w:tcPr/>
          <w:p>
            <w:pPr>
              <w:pStyle w:val="Compact"/>
            </w:pPr>
            <w:r>
              <w:t xml:space="preserve">+11bp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USD/JPY</w:t>
            </w:r>
          </w:p>
        </w:tc>
        <w:tc>
          <w:tcPr/>
          <w:p>
            <w:pPr>
              <w:pStyle w:val="Compact"/>
            </w:pPr>
            <w:r>
              <w:t xml:space="preserve">158.41</w:t>
            </w:r>
          </w:p>
        </w:tc>
        <w:tc>
          <w:tcPr/>
          <w:p>
            <w:pPr>
              <w:pStyle w:val="Compact"/>
            </w:pPr>
            <w:r>
              <w:t xml:space="preserve">158.87</w:t>
            </w:r>
          </w:p>
        </w:tc>
        <w:tc>
          <w:tcPr/>
          <w:p>
            <w:pPr>
              <w:pStyle w:val="Compact"/>
            </w:pPr>
            <w:r>
              <w:t xml:space="preserve">+0.29%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DXY </w:t>
            </w:r>
            <w:r>
              <w:rPr>
                <w:rFonts w:hint="eastAsia"/>
              </w:rPr>
              <w:t xml:space="preserve">美元指数</w:t>
            </w:r>
          </w:p>
        </w:tc>
        <w:tc>
          <w:tcPr/>
          <w:p>
            <w:pPr>
              <w:pStyle w:val="Compact"/>
            </w:pPr>
            <w:r>
              <w:t xml:space="preserve">102.20</w:t>
            </w:r>
          </w:p>
        </w:tc>
        <w:tc>
          <w:tcPr/>
          <w:p>
            <w:pPr>
              <w:pStyle w:val="Compact"/>
            </w:pPr>
            <w:r>
              <w:t xml:space="preserve">102.79</w:t>
            </w:r>
          </w:p>
        </w:tc>
        <w:tc>
          <w:tcPr/>
          <w:p>
            <w:pPr>
              <w:pStyle w:val="Compact"/>
            </w:pPr>
            <w:r>
              <w:t xml:space="preserve">+0.58%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NQ </w:t>
            </w:r>
            <w:r>
              <w:rPr>
                <w:rFonts w:hint="eastAsia"/>
              </w:rPr>
              <w:t xml:space="preserve">纳指期货</w:t>
            </w:r>
          </w:p>
        </w:tc>
        <w:tc>
          <w:tcPr/>
          <w:p>
            <w:pPr>
              <w:pStyle w:val="Compact"/>
            </w:pPr>
            <w:r>
              <w:t xml:space="preserve">30,840</w:t>
            </w:r>
          </w:p>
        </w:tc>
        <w:tc>
          <w:tcPr/>
          <w:p>
            <w:pPr>
              <w:pStyle w:val="Compact"/>
            </w:pPr>
            <w:r>
              <w:t xml:space="preserve">30,589</w:t>
            </w:r>
          </w:p>
        </w:tc>
        <w:tc>
          <w:tcPr/>
          <w:p>
            <w:pPr>
              <w:pStyle w:val="Compact"/>
            </w:pPr>
            <w:r>
              <w:t xml:space="preserve">-0.81%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 </w:t>
            </w:r>
            <w:r>
              <w:rPr>
                <w:rFonts w:hint="eastAsia"/>
              </w:rPr>
              <w:t xml:space="preserve">标普期货</w:t>
            </w:r>
          </w:p>
        </w:tc>
        <w:tc>
          <w:tcPr/>
          <w:p>
            <w:pPr>
              <w:pStyle w:val="Compact"/>
            </w:pPr>
            <w:r>
              <w:t xml:space="preserve">7,878.5</w:t>
            </w:r>
          </w:p>
        </w:tc>
        <w:tc>
          <w:tcPr/>
          <w:p>
            <w:pPr>
              <w:pStyle w:val="Compact"/>
            </w:pPr>
            <w:r>
              <w:t xml:space="preserve">7,830.2</w:t>
            </w:r>
          </w:p>
        </w:tc>
        <w:tc>
          <w:tcPr/>
          <w:p>
            <w:pPr>
              <w:pStyle w:val="Compact"/>
            </w:pPr>
            <w:r>
              <w:t xml:space="preserve">-0.61%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黄金期货</w:t>
            </w:r>
          </w:p>
        </w:tc>
        <w:tc>
          <w:tcPr/>
          <w:p>
            <w:pPr>
              <w:pStyle w:val="Compact"/>
            </w:pPr>
            <w:r>
              <w:t xml:space="preserve">4,174.5</w:t>
            </w:r>
          </w:p>
        </w:tc>
        <w:tc>
          <w:tcPr/>
          <w:p>
            <w:pPr>
              <w:pStyle w:val="Compact"/>
            </w:pPr>
            <w:r>
              <w:t xml:space="preserve">4,106.8</w:t>
            </w:r>
          </w:p>
        </w:tc>
        <w:tc>
          <w:tcPr/>
          <w:p>
            <w:pPr>
              <w:pStyle w:val="Compact"/>
            </w:pPr>
            <w:r>
              <w:t xml:space="preserve">-1.62%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WTI </w:t>
            </w:r>
            <w:r>
              <w:rPr>
                <w:rFonts w:hint="eastAsia"/>
              </w:rPr>
              <w:t xml:space="preserve">原油</w:t>
            </w:r>
          </w:p>
        </w:tc>
        <w:tc>
          <w:tcPr/>
          <w:p>
            <w:pPr>
              <w:pStyle w:val="Compact"/>
            </w:pPr>
            <w:r>
              <w:t xml:space="preserve">95.20</w:t>
            </w:r>
          </w:p>
        </w:tc>
        <w:tc>
          <w:tcPr/>
          <w:p>
            <w:pPr>
              <w:pStyle w:val="Compact"/>
            </w:pPr>
            <w:r>
              <w:t xml:space="preserve">95.36</w:t>
            </w:r>
          </w:p>
        </w:tc>
        <w:tc>
          <w:tcPr/>
          <w:p>
            <w:pPr>
              <w:pStyle w:val="Compact"/>
            </w:pPr>
            <w:r>
              <w:t xml:space="preserve">+0.17%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</w:t>
            </w:r>
          </w:p>
        </w:tc>
        <w:tc>
          <w:tcPr/>
          <w:p>
            <w:pPr>
              <w:pStyle w:val="Compact"/>
            </w:pPr>
            <w:r>
              <w:t xml:space="preserve">15.25</w:t>
            </w:r>
          </w:p>
        </w:tc>
        <w:tc>
          <w:tcPr/>
          <w:p>
            <w:pPr>
              <w:pStyle w:val="Compact"/>
            </w:pPr>
            <w:r>
              <w:t xml:space="preserve">15.73</w:t>
            </w:r>
          </w:p>
        </w:tc>
        <w:tc>
          <w:tcPr/>
          <w:p>
            <w:pPr>
              <w:pStyle w:val="Compact"/>
            </w:pPr>
            <w:r>
              <w:t xml:space="preserve">+0.48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/ NDX / </w:t>
            </w:r>
            <w:r>
              <w:rPr>
                <w:rFonts w:hint="eastAsia"/>
              </w:rPr>
              <w:t xml:space="preserve">S&amp;P（09:34</w:t>
            </w:r>
            <w:r>
              <w:t xml:space="preserve"> ET vs </w:t>
            </w:r>
            <w:r>
              <w:rPr>
                <w:rFonts w:hint="eastAsia"/>
              </w:rPr>
              <w:t xml:space="preserve">前收）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-1.77% / -0.71% / -0.38%</w:t>
            </w:r>
          </w:p>
        </w:tc>
      </w:tr>
    </w:tbl>
    <w:bookmarkEnd w:id="13"/>
    <w:bookmarkStart w:id="14" w:name="c.-加息概率kalshi-公共-api2133-myt"/>
    <w:p>
      <w:pPr>
        <w:pStyle w:val="Heading3"/>
      </w:pPr>
      <w:r>
        <w:t xml:space="preserve">4c. </w:t>
      </w:r>
      <w:r>
        <w:rPr>
          <w:rFonts w:hint="eastAsia"/>
        </w:rPr>
        <w:t xml:space="preserve">加息概率（Kalshi</w:t>
      </w:r>
      <w:r>
        <w:t xml:space="preserve"> </w:t>
      </w:r>
      <w:r>
        <w:rPr>
          <w:rFonts w:hint="eastAsia"/>
        </w:rPr>
        <w:t xml:space="preserve">公共</w:t>
      </w:r>
      <w:r>
        <w:t xml:space="preserve"> </w:t>
      </w:r>
      <w:r>
        <w:rPr>
          <w:rFonts w:hint="eastAsia"/>
        </w:rPr>
        <w:t xml:space="preserve">API，21:33</w:t>
      </w:r>
      <w:r>
        <w:t xml:space="preserve"> </w:t>
      </w:r>
      <w:r>
        <w:rPr>
          <w:rFonts w:hint="eastAsia"/>
        </w:rPr>
        <w:t xml:space="preserve">MYT）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公布前参考价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月会议</w:t>
            </w:r>
            <w:r>
              <w:t xml:space="preserve"> </w:t>
            </w:r>
            <w:r>
              <w:rPr>
                <w:rFonts w:hint="eastAsia"/>
              </w:rPr>
              <w:t xml:space="preserve">加息</w:t>
            </w:r>
            <w:r>
              <w:t xml:space="preserve"> 25bp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47%</w:t>
            </w:r>
          </w:p>
        </w:tc>
        <w:tc>
          <w:tcPr/>
          <w:p>
            <w:pPr>
              <w:pStyle w:val="Compact"/>
            </w:pPr>
            <w:r>
              <w:t xml:space="preserve">+29pp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月会议</w:t>
            </w:r>
            <w:r>
              <w:t xml:space="preserve"> </w:t>
            </w:r>
            <w:r>
              <w:rPr>
                <w:rFonts w:hint="eastAsia"/>
              </w:rPr>
              <w:t xml:space="preserve">维持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54%</w:t>
            </w:r>
          </w:p>
        </w:tc>
        <w:tc>
          <w:tcPr/>
          <w:p>
            <w:pPr>
              <w:pStyle w:val="Compact"/>
            </w:pPr>
            <w:r>
              <w:t xml:space="preserve">-28pp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月会议</w:t>
            </w:r>
            <w:r>
              <w:t xml:space="preserve"> </w:t>
            </w:r>
            <w:r>
              <w:rPr>
                <w:rFonts w:hint="eastAsia"/>
              </w:rPr>
              <w:t xml:space="preserve">加息</w:t>
            </w:r>
            <w:r>
              <w:t xml:space="preserve"> 25bp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81%</w:t>
            </w:r>
          </w:p>
        </w:tc>
        <w:tc>
          <w:tcPr/>
          <w:p>
            <w:pPr>
              <w:pStyle w:val="Compact"/>
            </w:pPr>
            <w:r>
              <w:t xml:space="preserve">+6pp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月会议</w:t>
            </w:r>
            <w:r>
              <w:t xml:space="preserve"> </w:t>
            </w:r>
            <w:r>
              <w:rPr>
                <w:rFonts w:hint="eastAsia"/>
              </w:rPr>
              <w:t xml:space="preserve">加息</w:t>
            </w:r>
            <w:r>
              <w:t xml:space="preserve"> &gt;25bp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+3pp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事前（锁定）为</w:t>
      </w:r>
      <w:r>
        <w:t xml:space="preserve"> Kalshi 10 </w:t>
      </w:r>
      <w:r>
        <w:rPr>
          <w:rFonts w:hint="eastAsia"/>
        </w:rPr>
        <w:t xml:space="preserve">月</w:t>
      </w:r>
      <w:r>
        <w:t xml:space="preserve"> 20% / 12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</w:rPr>
        <w:t xml:space="preserve">73%。注意</w:t>
      </w:r>
      <w:r>
        <w:t xml:space="preserve"> 12 </w:t>
      </w:r>
      <w:r>
        <w:rPr>
          <w:rFonts w:hint="eastAsia"/>
        </w:rPr>
        <w:t xml:space="preserve">月合约是”该次会议”的决定，不是累计概率。</w:t>
      </w:r>
    </w:p>
    <w:bookmarkEnd w:id="14"/>
    <w:bookmarkStart w:id="15" w:name="d.-情景对答案锁定情景树-bear偏热"/>
    <w:p>
      <w:pPr>
        <w:pStyle w:val="Heading3"/>
      </w:pPr>
      <w:r>
        <w:t xml:space="preserve">4d. </w:t>
      </w:r>
      <w:r>
        <w:rPr>
          <w:rFonts w:hint="eastAsia"/>
        </w:rPr>
        <w:t xml:space="preserve">情景对答案（锁定情景树</w:t>
      </w:r>
      <w:r>
        <w:t xml:space="preserve"> </w:t>
      </w:r>
      <w:r>
        <w:rPr>
          <w:rFonts w:hint="eastAsia"/>
        </w:rPr>
        <w:t xml:space="preserve">Bear/偏热）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事前</w:t>
            </w:r>
            <w:r>
              <w:t xml:space="preserve"> Hot </w:t>
            </w: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2Y</w:t>
            </w:r>
          </w:p>
        </w:tc>
        <w:tc>
          <w:tcPr/>
          <w:p>
            <w:pPr>
              <w:pStyle w:val="Compact"/>
            </w:pPr>
            <w:r>
              <w:t xml:space="preserve">+8~+15bp</w:t>
            </w:r>
          </w:p>
        </w:tc>
        <w:tc>
          <w:tcPr/>
          <w:p>
            <w:pPr>
              <w:pStyle w:val="Compact"/>
            </w:pPr>
            <w:r>
              <w:t xml:space="preserve">+11bp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命中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</w:t>
            </w:r>
          </w:p>
        </w:tc>
        <w:tc>
          <w:tcPr/>
          <w:p>
            <w:pPr>
              <w:pStyle w:val="Compact"/>
            </w:pPr>
            <w:r>
              <w:t xml:space="preserve">+5~+10bp</w:t>
            </w:r>
          </w:p>
        </w:tc>
        <w:tc>
          <w:tcPr/>
          <w:p>
            <w:pPr>
              <w:pStyle w:val="Compact"/>
            </w:pPr>
            <w:r>
              <w:t xml:space="preserve">+9.5bp vs </w:t>
            </w:r>
            <w:r>
              <w:rPr>
                <w:rFonts w:hint="eastAsia"/>
              </w:rPr>
              <w:t xml:space="preserve">前收</w:t>
            </w:r>
            <w:r>
              <w:t xml:space="preserve"> / +12.2bp vs </w:t>
            </w:r>
            <w:r>
              <w:rPr>
                <w:rFonts w:hint="eastAsia"/>
              </w:rPr>
              <w:t xml:space="preserve">公布前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上沿/略超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USD/JPY</w:t>
            </w:r>
          </w:p>
        </w:tc>
        <w:tc>
          <w:tcPr/>
          <w:p>
            <w:pPr>
              <w:pStyle w:val="Compact"/>
            </w:pPr>
            <w:r>
              <w:t xml:space="preserve">+0.5~+1.0%</w:t>
            </w:r>
          </w:p>
        </w:tc>
        <w:tc>
          <w:tcPr/>
          <w:p>
            <w:pPr>
              <w:pStyle w:val="Compact"/>
            </w:pPr>
            <w:r>
              <w:t xml:space="preserve">+0.29%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弱于预设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NDX</w:t>
            </w:r>
          </w:p>
        </w:tc>
        <w:tc>
          <w:tcPr/>
          <w:p>
            <w:pPr>
              <w:pStyle w:val="Compact"/>
            </w:pPr>
            <w:r>
              <w:t xml:space="preserve">−1.0~−2.0%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-0.71%（开盘）/</w:t>
            </w:r>
            <w:r>
              <w:t xml:space="preserve"> NQ -0.81%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温和于预设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</w:t>
            </w:r>
          </w:p>
        </w:tc>
        <w:tc>
          <w:tcPr/>
          <w:p>
            <w:pPr>
              <w:pStyle w:val="Compact"/>
            </w:pPr>
            <w:r>
              <w:t xml:space="preserve">−1.5~−3%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-1.77%（开盘）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命中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月加息概率</w:t>
            </w:r>
          </w:p>
        </w:tc>
        <w:tc>
          <w:tcPr/>
          <w:p>
            <w:pPr>
              <w:pStyle w:val="Compact"/>
            </w:pPr>
            <w:r>
              <w:t xml:space="preserve">→30–35%</w:t>
            </w:r>
          </w:p>
        </w:tc>
        <w:tc>
          <w:tcPr/>
          <w:p>
            <w:pPr>
              <w:pStyle w:val="Compact"/>
            </w:pPr>
            <w:r>
              <w:t xml:space="preserve">47%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超出预设</w:t>
            </w:r>
          </w:p>
        </w:tc>
      </w:tr>
    </w:tbl>
    <w:bookmarkEnd w:id="15"/>
    <w:bookmarkStart w:id="16" w:name="e.-假设清单与证伪"/>
    <w:p>
      <w:pPr>
        <w:pStyle w:val="Heading3"/>
      </w:pPr>
      <w:r>
        <w:t xml:space="preserve">4e. </w:t>
      </w:r>
      <w:r>
        <w:rPr>
          <w:rFonts w:hint="eastAsia"/>
        </w:rPr>
        <w:t xml:space="preserve">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  <w:r>
              <w:t xml:space="preserve"> / </w:t>
            </w:r>
            <w:r>
              <w:rPr>
                <w:rFonts w:hint="eastAsia"/>
              </w:rPr>
              <w:t xml:space="preserve">证伪条件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8 </w:t>
            </w:r>
            <w:r>
              <w:rPr>
                <w:rFonts w:hint="eastAsia"/>
              </w:rPr>
              <w:t xml:space="preserve">月通信一次性项目回吐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IT/通信</w:t>
            </w:r>
            <w:r>
              <w:t xml:space="preserve"> -0.31%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</w:t>
            </w:r>
            <w:r>
              <w:rPr>
                <w:rFonts w:hint="eastAsia"/>
              </w:rPr>
              <w:t xml:space="preserve">住房/OER</w:t>
            </w:r>
            <w:r>
              <w:t xml:space="preserve"> </w:t>
            </w:r>
            <w:r>
              <w:rPr>
                <w:rFonts w:hint="eastAsia"/>
              </w:rPr>
              <w:t xml:space="preserve">只小幅回升（证伪：OER</w:t>
            </w:r>
            <w:r>
              <w:t xml:space="preserve"> </w:t>
            </w:r>
            <w:r>
              <w:rPr>
                <w:rFonts w:hint="eastAsia"/>
              </w:rPr>
              <w:t xml:space="preserve">≥0.35%）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被证伪</w:t>
            </w:r>
          </w:p>
        </w:tc>
        <w:tc>
          <w:tcPr/>
          <w:p>
            <w:pPr>
              <w:pStyle w:val="Compact"/>
            </w:pPr>
            <w:r>
              <w:t xml:space="preserve">OER </w:t>
            </w:r>
            <w:r>
              <w:rPr>
                <w:rFonts w:hint="eastAsia"/>
              </w:rPr>
              <w:t xml:space="preserve">0.350%，住房</w:t>
            </w:r>
            <w:r>
              <w:t xml:space="preserve"> 0.39%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 </w:t>
            </w:r>
            <w:r>
              <w:rPr>
                <w:rFonts w:hint="eastAsia"/>
              </w:rPr>
              <w:t xml:space="preserve">市场主要通过</w:t>
            </w:r>
            <w:r>
              <w:t xml:space="preserve"> 2Y </w:t>
            </w:r>
            <w:r>
              <w:rPr>
                <w:rFonts w:hint="eastAsia"/>
              </w:rPr>
              <w:t xml:space="preserve">反应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成立</w:t>
            </w:r>
          </w:p>
        </w:tc>
        <w:tc>
          <w:tcPr/>
          <w:p>
            <w:pPr>
              <w:pStyle w:val="Compact"/>
            </w:pPr>
            <w:r>
              <w:t xml:space="preserve">2Y +11bp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 </w:t>
            </w:r>
            <w:r>
              <w:rPr>
                <w:rFonts w:hint="eastAsia"/>
              </w:rPr>
              <w:t xml:space="preserve">半导体主驱动不是</w:t>
            </w:r>
            <w:r>
              <w:t xml:space="preserve"> CPI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待收盘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偏热</w:t>
            </w:r>
            <w:r>
              <w:t xml:space="preserve"> + SOX </w:t>
            </w:r>
            <w:r>
              <w:rPr>
                <w:rFonts w:hint="eastAsia"/>
              </w:rPr>
              <w:t xml:space="preserve">−1.8%：利率有贡献，但幅度约为模型</w:t>
            </w:r>
            <w:r>
              <w:t xml:space="preserve"> 2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 </w:t>
            </w:r>
            <w:r>
              <w:rPr>
                <w:rFonts w:hint="eastAsia"/>
              </w:rPr>
              <w:t xml:space="preserve">偏热概率</w:t>
            </w:r>
            <w:r>
              <w:t xml:space="preserve"> 25%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概率校准误差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结果偏热；基础概率</w:t>
            </w:r>
            <w:r>
              <w:t xml:space="preserve"> 53%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证伪</w:t>
            </w:r>
            <w:r>
              <w:t xml:space="preserve"> #1 </w:t>
            </w:r>
            <w:r>
              <w:rPr>
                <w:rFonts w:hint="eastAsia"/>
              </w:rPr>
              <w:t xml:space="preserve">偏热但</w:t>
            </w:r>
            <w:r>
              <w:t xml:space="preserve"> 10Y </w:t>
            </w:r>
            <w:r>
              <w:rPr>
                <w:rFonts w:hint="eastAsia"/>
              </w:rPr>
              <w:t xml:space="preserve">下行/2Y</w:t>
            </w:r>
            <w:r>
              <w:t xml:space="preserve"> &lt;5bp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未触发</w:t>
            </w:r>
          </w:p>
        </w:tc>
        <w:tc>
          <w:tcPr/>
          <w:p>
            <w:pPr>
              <w:pStyle w:val="Compact"/>
            </w:pPr>
            <w:r>
              <w:t xml:space="preserve">2Y、10Y </w:t>
            </w:r>
            <w:r>
              <w:rPr>
                <w:rFonts w:hint="eastAsia"/>
              </w:rPr>
              <w:t xml:space="preserve">同向大涨</w:t>
            </w:r>
            <w:r>
              <w:t xml:space="preserve"> → </w:t>
            </w:r>
            <w:r>
              <w:rPr>
                <w:rFonts w:hint="eastAsia"/>
              </w:rPr>
              <w:t xml:space="preserve">传导映射当天有效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证伪</w:t>
            </w:r>
            <w:r>
              <w:t xml:space="preserve"> #4 </w:t>
            </w:r>
            <w:r>
              <w:rPr>
                <w:rFonts w:hint="eastAsia"/>
              </w:rPr>
              <w:t xml:space="preserve">整体</w:t>
            </w:r>
            <w:r>
              <w:t xml:space="preserve"> ≥0.7% </w:t>
            </w:r>
            <w:r>
              <w:rPr>
                <w:rFonts w:hint="eastAsia"/>
              </w:rPr>
              <w:t xml:space="preserve">且核心</w:t>
            </w:r>
            <w:r>
              <w:t xml:space="preserve"> ≤0.2%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</w:t>
            </w:r>
            <w:r>
              <w:t xml:space="preserve"> </w:t>
            </w:r>
            <w:r>
              <w:rPr>
                <w:rFonts w:hint="eastAsia"/>
              </w:rPr>
              <w:t xml:space="preserve">0.649%、核心</w:t>
            </w:r>
            <w:r>
              <w:t xml:space="preserve"> 0.335%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证伪</w:t>
            </w:r>
            <w:r>
              <w:t xml:space="preserve"> #5 </w:t>
            </w:r>
            <w:r>
              <w:rPr>
                <w:rFonts w:hint="eastAsia"/>
              </w:rPr>
              <w:t xml:space="preserve">核心落在</w:t>
            </w:r>
            <w:r>
              <w:t xml:space="preserve"> 0.16–0.24 </w:t>
            </w:r>
            <w:r>
              <w:rPr>
                <w:rFonts w:hint="eastAsia"/>
              </w:rPr>
              <w:t xml:space="preserve">区间外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t xml:space="preserve">0.335% → Fundamental Forecast </w:t>
            </w:r>
            <w:r>
              <w:rPr>
                <w:rFonts w:hint="eastAsia"/>
              </w:rPr>
              <w:t xml:space="preserve">误差：二手车（+0.67%，我们预期下跌）与住房被低估</w:t>
            </w:r>
          </w:p>
        </w:tc>
      </w:tr>
    </w:tbl>
    <w:bookmarkEnd w:id="16"/>
    <w:bookmarkStart w:id="17" w:name="f.-概率校准-calibration"/>
    <w:p>
      <w:pPr>
        <w:pStyle w:val="Heading3"/>
      </w:pPr>
      <w:r>
        <w:t xml:space="preserve">4f. </w:t>
      </w:r>
      <w:r>
        <w:rPr>
          <w:rFonts w:hint="eastAsia"/>
        </w:rPr>
        <w:t xml:space="preserve">概率校准</w:t>
      </w:r>
      <w:r>
        <w:t xml:space="preserve"> Calibration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三分类</w:t>
      </w:r>
      <w:r>
        <w:t xml:space="preserve"> Brier </w:t>
      </w:r>
      <w:r>
        <w:rPr>
          <w:rFonts w:hint="eastAsia"/>
        </w:rPr>
        <w:t xml:space="preserve">分数（越低越好）：我们锁定的</w:t>
      </w:r>
      <w:r>
        <w:t xml:space="preserve"> 25/50/25 =</w:t>
      </w:r>
      <w:r>
        <w:t xml:space="preserve"> </w:t>
      </w:r>
      <w:r>
        <w:rPr>
          <w:b/>
          <w:bCs/>
        </w:rPr>
        <w:t xml:space="preserve">0.875</w:t>
      </w:r>
      <w:r>
        <w:rPr>
          <w:rFonts w:hint="eastAsia"/>
        </w:rPr>
        <w:t xml:space="preserve">；均匀</w:t>
      </w:r>
      <w:r>
        <w:t xml:space="preserve"> 1/3 = </w:t>
      </w:r>
      <w:r>
        <w:rPr>
          <w:rFonts w:hint="eastAsia"/>
        </w:rPr>
        <w:t xml:space="preserve">0.667；基础概率</w:t>
      </w:r>
      <w:r>
        <w:t xml:space="preserve"> 14/33/53 =</w:t>
      </w:r>
      <w:r>
        <w:t xml:space="preserve"> </w:t>
      </w:r>
      <w:r>
        <w:rPr>
          <w:b/>
          <w:bCs/>
        </w:rPr>
        <w:t xml:space="preserve">0.349</w:t>
      </w:r>
      <w:r>
        <w:rPr>
          <w:rFonts w:hint="eastAsia"/>
        </w:rPr>
        <w:t xml:space="preserve">（本系统计算）。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我们在思维版（v20261013-2047-think）已写”偏热</w:t>
      </w:r>
      <w:r>
        <w:t xml:space="preserve"> 30–40% </w:t>
      </w:r>
      <w:r>
        <w:rPr>
          <w:rFonts w:hint="eastAsia"/>
        </w:rPr>
        <w:t xml:space="preserve">更诚实”，但锁定值保持</w:t>
      </w:r>
      <w:r>
        <w:t xml:space="preserve"> 25% </w:t>
      </w:r>
      <w:r>
        <w:rPr>
          <w:rFonts w:hint="eastAsia"/>
        </w:rPr>
        <w:t xml:space="preserve">不改——这次结果把这一校准误差留在记录里。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新规则（建议）：当共识/投行与基础概率差</w:t>
      </w:r>
      <w:r>
        <w:t xml:space="preserve"> </w:t>
      </w:r>
      <w:r>
        <w:rPr>
          <w:rFonts w:hint="eastAsia"/>
        </w:rPr>
        <w:t xml:space="preserve">&gt;20pp，情景概率至少向基础概率靠拢一半，并在事前书单列”基础概率</w:t>
      </w:r>
      <w:r>
        <w:t xml:space="preserve"> vs </w:t>
      </w:r>
      <w:r>
        <w:rPr>
          <w:rFonts w:hint="eastAsia"/>
        </w:rPr>
        <w:t xml:space="preserve">我们”一行。</w:t>
      </w:r>
    </w:p>
    <w:bookmarkEnd w:id="17"/>
    <w:bookmarkStart w:id="18" w:name="g.-多空钢人"/>
    <w:p>
      <w:pPr>
        <w:pStyle w:val="Heading3"/>
      </w:pPr>
      <w:r>
        <w:t xml:space="preserve">4g. </w:t>
      </w:r>
      <w:r>
        <w:rPr>
          <w:rFonts w:hint="eastAsia"/>
        </w:rPr>
        <w:t xml:space="preserve">多空钢人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鹰派/再加速：</w:t>
      </w:r>
      <w:r>
        <w:rPr>
          <w:rFonts w:hint="eastAsia"/>
        </w:rPr>
        <w:t xml:space="preserve">核心连续两月</w:t>
      </w:r>
      <w:r>
        <w:t xml:space="preserve"> </w:t>
      </w:r>
      <w:r>
        <w:rPr>
          <w:rFonts w:hint="eastAsia"/>
        </w:rPr>
        <w:t xml:space="preserve">≥0.29%，3</w:t>
      </w:r>
      <w:r>
        <w:t xml:space="preserve"> </w:t>
      </w:r>
      <w:r>
        <w:rPr>
          <w:rFonts w:hint="eastAsia"/>
        </w:rPr>
        <w:t xml:space="preserve">个月年化</w:t>
      </w:r>
      <w:r>
        <w:t xml:space="preserve"> </w:t>
      </w:r>
      <w:r>
        <w:rPr>
          <w:rFonts w:hint="eastAsia"/>
        </w:rPr>
        <w:t xml:space="preserve">3.4%；住房与核心商品同时升温；机票（+1.16%）与交通服务（+0.58%）显示能源二次传导；Fed</w:t>
      </w:r>
      <w:r>
        <w:t xml:space="preserve"> </w:t>
      </w:r>
      <w:r>
        <w:rPr>
          <w:rFonts w:hint="eastAsia"/>
        </w:rPr>
        <w:t xml:space="preserve">目标</w:t>
      </w:r>
      <w:r>
        <w:t xml:space="preserve"> </w:t>
      </w:r>
      <w:r>
        <w:rPr>
          <w:rFonts w:hint="eastAsia"/>
        </w:rPr>
        <w:t xml:space="preserve">PCE，8</w:t>
      </w:r>
      <w:r>
        <w:t xml:space="preserve"> </w:t>
      </w:r>
      <w:r>
        <w:rPr>
          <w:rFonts w:hint="eastAsia"/>
        </w:rPr>
        <w:t xml:space="preserve">月核心约</w:t>
      </w:r>
      <w:r>
        <w:t xml:space="preserve"> </w:t>
      </w:r>
      <w:r>
        <w:rPr>
          <w:rFonts w:hint="eastAsia"/>
        </w:rPr>
        <w:t xml:space="preserve">3.0%（事前书，FRED）。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鸽派/可看穿：</w:t>
      </w:r>
      <w:r>
        <w:rPr>
          <w:rFonts w:hint="eastAsia"/>
        </w:rPr>
        <w:t xml:space="preserve">整体</w:t>
      </w:r>
      <w:r>
        <w:t xml:space="preserve"> 0.6% </w:t>
      </w:r>
      <w:r>
        <w:rPr>
          <w:rFonts w:hint="eastAsia"/>
        </w:rPr>
        <w:t xml:space="preserve">正好等于共识，汽油贡献过半（供给冲击）；核心同比</w:t>
      </w:r>
      <w:r>
        <w:t xml:space="preserve"> 2.6% </w:t>
      </w:r>
      <w:r>
        <w:rPr>
          <w:rFonts w:hint="eastAsia"/>
        </w:rPr>
        <w:t xml:space="preserve">仍低于核心</w:t>
      </w:r>
      <w:r>
        <w:t xml:space="preserve"> </w:t>
      </w:r>
      <w:r>
        <w:rPr>
          <w:rFonts w:hint="eastAsia"/>
        </w:rPr>
        <w:t xml:space="preserve">PCE；9</w:t>
      </w:r>
      <w:r>
        <w:t xml:space="preserve"> </w:t>
      </w:r>
      <w:r>
        <w:rPr>
          <w:rFonts w:hint="eastAsia"/>
        </w:rPr>
        <w:t xml:space="preserve">月非农</w:t>
      </w:r>
      <w:r>
        <w:t xml:space="preserve"> </w:t>
      </w:r>
      <w:r>
        <w:rPr>
          <w:rFonts w:hint="eastAsia"/>
        </w:rPr>
        <w:t xml:space="preserve">+29k、失业率</w:t>
      </w:r>
      <w:r>
        <w:t xml:space="preserve"> </w:t>
      </w:r>
      <w:r>
        <w:rPr>
          <w:rFonts w:hint="eastAsia"/>
        </w:rPr>
        <w:t xml:space="preserve">4.2%；Waller</w:t>
      </w:r>
      <w:r>
        <w:t xml:space="preserve"> </w:t>
      </w:r>
      <w:r>
        <w:rPr>
          <w:rFonts w:hint="eastAsia"/>
        </w:rPr>
        <w:t xml:space="preserve">称高长端利率”在做部分工作”（10/13</w:t>
      </w:r>
      <w:r>
        <w:t xml:space="preserve"> </w:t>
      </w:r>
      <w:r>
        <w:rPr>
          <w:rFonts w:hint="eastAsia"/>
        </w:rPr>
        <w:t xml:space="preserve">转述）。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裁判（我们的判断，可能出错）：</w:t>
      </w:r>
      <w:r>
        <w:rPr>
          <w:rFonts w:hint="eastAsia"/>
        </w:rPr>
        <w:t xml:space="preserve">略偏鹰派——</w:t>
      </w:r>
      <w:r>
        <w:rPr>
          <w:rFonts w:hint="eastAsia"/>
        </w:rPr>
        <w:t xml:space="preserve">“连续两月</w:t>
      </w:r>
      <w:r>
        <w:t xml:space="preserve"> + </w:t>
      </w:r>
      <w:r>
        <w:rPr>
          <w:rFonts w:hint="eastAsia"/>
        </w:rPr>
        <w:t xml:space="preserve">住房回升</w:t>
      </w:r>
      <w:r>
        <w:t xml:space="preserve"> + </w:t>
      </w:r>
      <w:r>
        <w:rPr>
          <w:rFonts w:hint="eastAsia"/>
        </w:rPr>
        <w:t xml:space="preserve">能源传导”</w:t>
      </w:r>
      <w:r>
        <w:rPr>
          <w:rFonts w:hint="eastAsia"/>
        </w:rPr>
        <w:t xml:space="preserve">三点同时出现；但</w:t>
      </w:r>
      <w:r>
        <w:t xml:space="preserve"> Kalshi 47% </w:t>
      </w:r>
      <w:r>
        <w:rPr>
          <w:rFonts w:hint="eastAsia"/>
        </w:rPr>
        <w:t xml:space="preserve">已反映大部分，下一步关键是</w:t>
      </w:r>
      <w:r>
        <w:t xml:space="preserve"> 10/15 PPI </w:t>
      </w:r>
      <w:r>
        <w:rPr>
          <w:rFonts w:hint="eastAsia"/>
        </w:rPr>
        <w:t xml:space="preserve">对核心</w:t>
      </w:r>
      <w:r>
        <w:t xml:space="preserve"> PCE </w:t>
      </w:r>
      <w:r>
        <w:rPr>
          <w:rFonts w:hint="eastAsia"/>
        </w:rPr>
        <w:t xml:space="preserve">的映射。</w:t>
      </w:r>
    </w:p>
    <w:bookmarkEnd w:id="18"/>
    <w:bookmarkStart w:id="19" w:name="h.-观察名单影响约-0934-et-vs-1013-收盘盘中"/>
    <w:p>
      <w:pPr>
        <w:pStyle w:val="Heading3"/>
      </w:pPr>
      <w:r>
        <w:t xml:space="preserve">4h. </w:t>
      </w:r>
      <w:r>
        <w:rPr>
          <w:rFonts w:hint="eastAsia"/>
        </w:rPr>
        <w:t xml:space="preserve">观察名单影响（约</w:t>
      </w:r>
      <w:r>
        <w:t xml:space="preserve"> 09:34 ET vs 10/13 </w:t>
      </w:r>
      <w:r>
        <w:rPr>
          <w:rFonts w:hint="eastAsia"/>
        </w:rPr>
        <w:t xml:space="preserve">收盘，盘中）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CRWV</w:t>
            </w:r>
          </w:p>
        </w:tc>
        <w:tc>
          <w:tcPr/>
          <w:p>
            <w:pPr>
              <w:pStyle w:val="Compact"/>
            </w:pPr>
            <w:r>
              <w:t xml:space="preserve">-11.66%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MXL</w:t>
            </w:r>
          </w:p>
        </w:tc>
        <w:tc>
          <w:tcPr/>
          <w:p>
            <w:pPr>
              <w:pStyle w:val="Compact"/>
            </w:pPr>
            <w:r>
              <w:t xml:space="preserve">-5.28%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CRWD</w:t>
            </w:r>
          </w:p>
        </w:tc>
        <w:tc>
          <w:tcPr/>
          <w:p>
            <w:pPr>
              <w:pStyle w:val="Compact"/>
            </w:pPr>
            <w:r>
              <w:t xml:space="preserve">-4.37%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COHR</w:t>
            </w:r>
          </w:p>
        </w:tc>
        <w:tc>
          <w:tcPr/>
          <w:p>
            <w:pPr>
              <w:pStyle w:val="Compact"/>
            </w:pPr>
            <w:r>
              <w:t xml:space="preserve">-3.57%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-3.23%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CIEN</w:t>
            </w:r>
          </w:p>
        </w:tc>
        <w:tc>
          <w:tcPr/>
          <w:p>
            <w:pPr>
              <w:pStyle w:val="Compact"/>
            </w:pPr>
            <w:r>
              <w:t xml:space="preserve">-3.21%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</w:t>
            </w:r>
          </w:p>
        </w:tc>
        <w:tc>
          <w:tcPr/>
          <w:p>
            <w:pPr>
              <w:pStyle w:val="Compact"/>
            </w:pPr>
            <w:r>
              <w:t xml:space="preserve">-3.09%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RKLB</w:t>
            </w:r>
          </w:p>
        </w:tc>
        <w:tc>
          <w:tcPr/>
          <w:p>
            <w:pPr>
              <w:pStyle w:val="Compact"/>
            </w:pPr>
            <w:r>
              <w:t xml:space="preserve">-2.99%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MRVL</w:t>
            </w:r>
          </w:p>
        </w:tc>
        <w:tc>
          <w:tcPr/>
          <w:p>
            <w:pPr>
              <w:pStyle w:val="Compact"/>
            </w:pPr>
            <w:r>
              <w:t xml:space="preserve">-2.92%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AMD</w:t>
            </w:r>
          </w:p>
        </w:tc>
        <w:tc>
          <w:tcPr/>
          <w:p>
            <w:pPr>
              <w:pStyle w:val="Compact"/>
            </w:pPr>
            <w:r>
              <w:t xml:space="preserve">-2.74%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SIMO</w:t>
            </w:r>
          </w:p>
        </w:tc>
        <w:tc>
          <w:tcPr/>
          <w:p>
            <w:pPr>
              <w:pStyle w:val="Compact"/>
            </w:pPr>
            <w:r>
              <w:t xml:space="preserve">-2.40%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SPCX</w:t>
            </w:r>
          </w:p>
        </w:tc>
        <w:tc>
          <w:tcPr/>
          <w:p>
            <w:pPr>
              <w:pStyle w:val="Compact"/>
            </w:pPr>
            <w:r>
              <w:t xml:space="preserve">-2.24%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INTC</w:t>
            </w:r>
          </w:p>
        </w:tc>
        <w:tc>
          <w:tcPr/>
          <w:p>
            <w:pPr>
              <w:pStyle w:val="Compact"/>
            </w:pPr>
            <w:r>
              <w:t xml:space="preserve">-2.21%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GLW</w:t>
            </w:r>
          </w:p>
        </w:tc>
        <w:tc>
          <w:tcPr/>
          <w:p>
            <w:pPr>
              <w:pStyle w:val="Compact"/>
            </w:pPr>
            <w:r>
              <w:t xml:space="preserve">-2.13%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AMAT</w:t>
            </w:r>
          </w:p>
        </w:tc>
        <w:tc>
          <w:tcPr/>
          <w:p>
            <w:pPr>
              <w:pStyle w:val="Compact"/>
            </w:pPr>
            <w:r>
              <w:t xml:space="preserve">-1.97%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CCL</w:t>
            </w:r>
          </w:p>
        </w:tc>
        <w:tc>
          <w:tcPr/>
          <w:p>
            <w:pPr>
              <w:pStyle w:val="Compact"/>
            </w:pPr>
            <w:r>
              <w:t xml:space="preserve">-1.95%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AVGO</w:t>
            </w:r>
          </w:p>
        </w:tc>
        <w:tc>
          <w:tcPr/>
          <w:p>
            <w:pPr>
              <w:pStyle w:val="Compact"/>
            </w:pPr>
            <w:r>
              <w:t xml:space="preserve">-1.90%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TSLA</w:t>
            </w:r>
          </w:p>
        </w:tc>
        <w:tc>
          <w:tcPr/>
          <w:p>
            <w:pPr>
              <w:pStyle w:val="Compact"/>
            </w:pPr>
            <w:r>
              <w:t xml:space="preserve">-1.70%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PLTR</w:t>
            </w:r>
          </w:p>
        </w:tc>
        <w:tc>
          <w:tcPr/>
          <w:p>
            <w:pPr>
              <w:pStyle w:val="Compact"/>
            </w:pPr>
            <w:r>
              <w:t xml:space="preserve">-1.62%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NVDA</w:t>
            </w:r>
          </w:p>
        </w:tc>
        <w:tc>
          <w:tcPr/>
          <w:p>
            <w:pPr>
              <w:pStyle w:val="Compact"/>
            </w:pPr>
            <w:r>
              <w:t xml:space="preserve">-1.54%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QCOM</w:t>
            </w:r>
          </w:p>
        </w:tc>
        <w:tc>
          <w:tcPr/>
          <w:p>
            <w:pPr>
              <w:pStyle w:val="Compact"/>
            </w:pPr>
            <w:r>
              <w:t xml:space="preserve">-1.48%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-1.44%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KLAC</w:t>
            </w:r>
          </w:p>
        </w:tc>
        <w:tc>
          <w:tcPr/>
          <w:p>
            <w:pPr>
              <w:pStyle w:val="Compact"/>
            </w:pPr>
            <w:r>
              <w:t xml:space="preserve">-1.25%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TSM</w:t>
            </w:r>
          </w:p>
        </w:tc>
        <w:tc>
          <w:tcPr/>
          <w:p>
            <w:pPr>
              <w:pStyle w:val="Compact"/>
            </w:pPr>
            <w:r>
              <w:t xml:space="preserve">-1.23%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PWR</w:t>
            </w:r>
          </w:p>
        </w:tc>
        <w:tc>
          <w:tcPr/>
          <w:p>
            <w:pPr>
              <w:pStyle w:val="Compact"/>
            </w:pPr>
            <w:r>
              <w:t xml:space="preserve">-0.83%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</w:t>
            </w:r>
          </w:p>
        </w:tc>
        <w:tc>
          <w:tcPr/>
          <w:p>
            <w:pPr>
              <w:pStyle w:val="Compact"/>
            </w:pPr>
            <w:r>
              <w:t xml:space="preserve">-0.72%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ASML</w:t>
            </w:r>
          </w:p>
        </w:tc>
        <w:tc>
          <w:tcPr/>
          <w:p>
            <w:pPr>
              <w:pStyle w:val="Compact"/>
            </w:pPr>
            <w:r>
              <w:t xml:space="preserve">-0.35%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AAPL</w:t>
            </w:r>
          </w:p>
        </w:tc>
        <w:tc>
          <w:tcPr/>
          <w:p>
            <w:pPr>
              <w:pStyle w:val="Compact"/>
            </w:pPr>
            <w:r>
              <w:t xml:space="preserve">+1.31%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读法：跌幅最大的</w:t>
      </w:r>
      <w:r>
        <w:t xml:space="preserve"> CRWV/MXL/CRWD/COHR/ARM/CIEN/LITE </w:t>
      </w:r>
      <w:r>
        <w:rPr>
          <w:rFonts w:hint="eastAsia"/>
        </w:rPr>
        <w:t xml:space="preserve">中，CRWV</w:t>
      </w:r>
      <w:r>
        <w:t xml:space="preserve"> </w:t>
      </w:r>
      <w:r>
        <w:rPr>
          <w:rFonts w:hint="eastAsia"/>
        </w:rPr>
        <w:t xml:space="preserve">公布前已跌约</w:t>
      </w:r>
      <w:r>
        <w:t xml:space="preserve"> </w:t>
      </w:r>
      <w:r>
        <w:rPr>
          <w:rFonts w:hint="eastAsia"/>
        </w:rPr>
        <w:t xml:space="preserve">4%（AI</w:t>
      </w:r>
      <w:r>
        <w:t xml:space="preserve"> </w:t>
      </w:r>
      <w:r>
        <w:rPr>
          <w:rFonts w:hint="eastAsia"/>
        </w:rPr>
        <w:t xml:space="preserve">债务叙事），不能全部归因</w:t>
      </w:r>
      <w:r>
        <w:t xml:space="preserve"> </w:t>
      </w:r>
      <w:r>
        <w:rPr>
          <w:rFonts w:hint="eastAsia"/>
        </w:rPr>
        <w:t xml:space="preserve">CPI；AAPL</w:t>
      </w:r>
      <w:r>
        <w:t xml:space="preserve"> </w:t>
      </w:r>
      <w:r>
        <w:rPr>
          <w:rFonts w:hint="eastAsia"/>
        </w:rPr>
        <w:t xml:space="preserve">逆势上涨显示资金向防御型大盘股轮动；ASML</w:t>
      </w:r>
      <w:r>
        <w:t xml:space="preserve"> </w:t>
      </w:r>
      <w:r>
        <w:rPr>
          <w:rFonts w:hint="eastAsia"/>
        </w:rPr>
        <w:t xml:space="preserve">业绩超预期并上调</w:t>
      </w:r>
      <w:r>
        <w:t xml:space="preserve"> 2026 </w:t>
      </w:r>
      <w:r>
        <w:rPr>
          <w:rFonts w:hint="eastAsia"/>
        </w:rPr>
        <w:t xml:space="preserve">指引，股价仍</w:t>
      </w:r>
      <w:r>
        <w:t xml:space="preserve"> -0.35%。</w:t>
      </w:r>
    </w:p>
    <w:bookmarkEnd w:id="19"/>
    <w:bookmarkStart w:id="20" w:name="i.-下一步看什么myt"/>
    <w:p>
      <w:pPr>
        <w:pStyle w:val="Heading3"/>
      </w:pPr>
      <w:r>
        <w:t xml:space="preserve">4i. </w:t>
      </w:r>
      <w:r>
        <w:rPr>
          <w:rFonts w:hint="eastAsia"/>
        </w:rPr>
        <w:t xml:space="preserve">下一步看什么（MYT）</w:t>
      </w:r>
    </w:p>
    <w:p>
      <w:pPr>
        <w:pStyle w:val="Compact"/>
        <w:numPr>
          <w:ilvl w:val="0"/>
          <w:numId w:val="1005"/>
        </w:numPr>
      </w:pPr>
      <w:r>
        <w:t xml:space="preserve">10/15 01:30 Barkin </w:t>
      </w:r>
      <w:r>
        <w:rPr>
          <w:rFonts w:hint="eastAsia"/>
        </w:rPr>
        <w:t xml:space="preserve">讲话；02:00</w:t>
      </w:r>
      <w:r>
        <w:t xml:space="preserve"> </w:t>
      </w:r>
      <w:r>
        <w:rPr>
          <w:rFonts w:hint="eastAsia"/>
        </w:rPr>
        <w:t xml:space="preserve">褐皮书（能源成本转嫁？）；04:00</w:t>
      </w:r>
      <w:r>
        <w:t xml:space="preserve"> </w:t>
      </w:r>
      <w:r>
        <w:rPr>
          <w:rFonts w:hint="eastAsia"/>
        </w:rPr>
        <w:t xml:space="preserve">美股收盘（首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 vs </w:t>
      </w:r>
      <w:r>
        <w:rPr>
          <w:rFonts w:hint="eastAsia"/>
        </w:rPr>
        <w:t xml:space="preserve">收盘）。</w:t>
      </w:r>
    </w:p>
    <w:p>
      <w:pPr>
        <w:pStyle w:val="Compact"/>
        <w:numPr>
          <w:ilvl w:val="0"/>
          <w:numId w:val="1005"/>
        </w:numPr>
      </w:pPr>
      <w:r>
        <w:t xml:space="preserve">10/15 14:00 TSMC Q3 </w:t>
      </w:r>
      <w:r>
        <w:rPr>
          <w:rFonts w:hint="eastAsia"/>
        </w:rPr>
        <w:t xml:space="preserve">业绩（AI</w:t>
      </w:r>
      <w:r>
        <w:t xml:space="preserve"> </w:t>
      </w:r>
      <w:r>
        <w:rPr>
          <w:rFonts w:hint="eastAsia"/>
        </w:rPr>
        <w:t xml:space="preserve">链盈利能否对冲利率）；20:30</w:t>
      </w:r>
      <w:r>
        <w:t xml:space="preserve"> </w:t>
      </w:r>
      <w:r>
        <w:rPr>
          <w:rFonts w:hint="eastAsia"/>
        </w:rPr>
        <w:t xml:space="preserve">美国</w:t>
      </w:r>
      <w:r>
        <w:t xml:space="preserve"> </w:t>
      </w:r>
      <w:r>
        <w:rPr>
          <w:rFonts w:hint="eastAsia"/>
        </w:rPr>
        <w:t xml:space="preserve">PPI（医疗/机票/组合管理费</w:t>
      </w:r>
      <w:r>
        <w:t xml:space="preserve"> → </w:t>
      </w:r>
      <w:r>
        <w:rPr>
          <w:rFonts w:hint="eastAsia"/>
        </w:rPr>
        <w:t xml:space="preserve">核心</w:t>
      </w:r>
      <w:r>
        <w:t xml:space="preserve"> </w:t>
      </w:r>
      <w:r>
        <w:rPr>
          <w:rFonts w:hint="eastAsia"/>
        </w:rPr>
        <w:t xml:space="preserve">PCE）。</w:t>
      </w:r>
    </w:p>
    <w:p>
      <w:pPr>
        <w:pStyle w:val="Compact"/>
        <w:numPr>
          <w:ilvl w:val="0"/>
          <w:numId w:val="1005"/>
        </w:numPr>
      </w:pPr>
      <w:r>
        <w:t xml:space="preserve">10/16 11:30 Warsh </w:t>
      </w:r>
      <w:r>
        <w:rPr>
          <w:rFonts w:hint="eastAsia"/>
        </w:rPr>
        <w:t xml:space="preserve">讲话；10/29</w:t>
      </w:r>
      <w:r>
        <w:t xml:space="preserve"> 02:00 FOMC </w:t>
      </w:r>
      <w:r>
        <w:rPr>
          <w:rFonts w:hint="eastAsia"/>
        </w:rPr>
        <w:t xml:space="preserve">决议；11/10</w:t>
      </w:r>
      <w:r>
        <w:t xml:space="preserve"> 21:30 10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</w:rPr>
        <w:t xml:space="preserve">CPI（美国已转冬令时）。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阈值：Kalshi</w:t>
      </w:r>
      <w:r>
        <w:t xml:space="preserve"> 10 </w:t>
      </w:r>
      <w:r>
        <w:rPr>
          <w:rFonts w:hint="eastAsia"/>
        </w:rPr>
        <w:t xml:space="preserve">月加息</w:t>
      </w:r>
      <w:r>
        <w:t xml:space="preserve"> </w:t>
      </w:r>
      <w:r>
        <w:rPr>
          <w:rFonts w:hint="eastAsia"/>
        </w:rPr>
        <w:t xml:space="preserve">&gt;60%；USD/JPY</w:t>
      </w:r>
      <w:r>
        <w:t xml:space="preserve"> </w:t>
      </w:r>
      <w:r>
        <w:rPr>
          <w:rFonts w:hint="eastAsia"/>
        </w:rPr>
        <w:t xml:space="preserve">≥159.5；10Y</w:t>
      </w:r>
      <w:r>
        <w:t xml:space="preserve"> </w:t>
      </w:r>
      <w:r>
        <w:rPr>
          <w:rFonts w:hint="eastAsia"/>
        </w:rPr>
        <w:t xml:space="preserve">重回</w:t>
      </w:r>
      <w:r>
        <w:t xml:space="preserve"> 5.35%。</w:t>
      </w:r>
    </w:p>
    <w:bookmarkEnd w:id="20"/>
    <w:bookmarkStart w:id="27" w:name="j.-最终自我质疑"/>
    <w:p>
      <w:pPr>
        <w:pStyle w:val="Heading3"/>
      </w:pPr>
      <w:r>
        <w:t xml:space="preserve">4j. </w:t>
      </w:r>
      <w:r>
        <w:rPr>
          <w:rFonts w:hint="eastAsia"/>
        </w:rPr>
        <w:t xml:space="preserve">最终自我质疑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我们是否把盘中前一小时当成了结论？收盘可能完全不同（事前清单第</w:t>
      </w:r>
      <w:r>
        <w:t xml:space="preserve"> 11 </w:t>
      </w:r>
      <w:r>
        <w:rPr>
          <w:rFonts w:hint="eastAsia"/>
        </w:rPr>
        <w:t xml:space="preserve">项）。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核心</w:t>
      </w:r>
      <w:r>
        <w:t xml:space="preserve"> 0.335% </w:t>
      </w:r>
      <w:r>
        <w:rPr>
          <w:rFonts w:hint="eastAsia"/>
        </w:rPr>
        <w:t xml:space="preserve">中二手车、服装等波动项占一部分；若</w:t>
      </w:r>
      <w:r>
        <w:t xml:space="preserve"> 10 </w:t>
      </w:r>
      <w:r>
        <w:rPr>
          <w:rFonts w:hint="eastAsia"/>
        </w:rPr>
        <w:t xml:space="preserve">月回落，</w:t>
      </w:r>
      <w:r>
        <w:rPr>
          <w:rFonts w:hint="eastAsia"/>
        </w:rPr>
        <w:t xml:space="preserve">“再加速”</w:t>
      </w:r>
      <w:r>
        <w:rPr>
          <w:rFonts w:hint="eastAsia"/>
        </w:rPr>
        <w:t xml:space="preserve">叙事会被削弱。</w:t>
      </w:r>
    </w:p>
    <w:p>
      <w:pPr>
        <w:pStyle w:val="Compact"/>
        <w:numPr>
          <w:ilvl w:val="0"/>
          <w:numId w:val="1006"/>
        </w:numPr>
      </w:pPr>
      <w:r>
        <w:t xml:space="preserve">5Y </w:t>
      </w:r>
      <w:r>
        <w:rPr>
          <w:rFonts w:hint="eastAsia"/>
        </w:rPr>
        <w:t xml:space="preserve">领涨也可能部分来自供给/期限溢价而非</w:t>
      </w:r>
      <w:r>
        <w:t xml:space="preserve"> </w:t>
      </w:r>
      <w:r>
        <w:rPr>
          <w:rFonts w:hint="eastAsia"/>
        </w:rPr>
        <w:t xml:space="preserve">CPI；需要对照收盘与</w:t>
      </w:r>
      <w:r>
        <w:t xml:space="preserve"> PPI </w:t>
      </w:r>
      <w:r>
        <w:rPr>
          <w:rFonts w:hint="eastAsia"/>
        </w:rPr>
        <w:t xml:space="preserve">再判断。</w:t>
      </w:r>
    </w:p>
    <w:p>
      <w:pPr>
        <w:pStyle w:val="CaptionedFigure"/>
      </w:pPr>
      <w:r>
        <w:drawing>
          <wp:inline>
            <wp:extent cx="5334000" cy="4989957"/>
            <wp:effectExtent b="0" l="0" r="0" t="0"/>
            <wp:docPr descr="新闻解读图 第1页" title="" id="22" name="Picture"/>
            <a:graphic>
              <a:graphicData uri="http://schemas.openxmlformats.org/drawingml/2006/picture">
                <pic:pic>
                  <pic:nvPicPr>
                    <pic:cNvPr descr="images/us-cpi-sep2026-hot_news-explainer_p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新闻解读图</w:t>
      </w:r>
      <w:r>
        <w:t xml:space="preserve"> </w:t>
      </w:r>
      <w:r>
        <w:rPr>
          <w:rFonts w:hint="eastAsia"/>
        </w:rPr>
        <w:t xml:space="preserve">第1页</w:t>
      </w:r>
    </w:p>
    <w:p>
      <w:pPr>
        <w:pStyle w:val="CaptionedFigure"/>
      </w:pPr>
      <w:r>
        <w:drawing>
          <wp:inline>
            <wp:extent cx="5334000" cy="4664583"/>
            <wp:effectExtent b="0" l="0" r="0" t="0"/>
            <wp:docPr descr="新闻解读图 第2页" title="" id="25" name="Picture"/>
            <a:graphic>
              <a:graphicData uri="http://schemas.openxmlformats.org/drawingml/2006/picture">
                <pic:pic>
                  <pic:nvPicPr>
                    <pic:cNvPr descr="images/us-cpi-sep2026-hot_news-explainer_p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新闻解读图</w:t>
      </w:r>
      <w:r>
        <w:t xml:space="preserve"> </w:t>
      </w:r>
      <w:r>
        <w:rPr>
          <w:rFonts w:hint="eastAsia"/>
        </w:rPr>
        <w:t xml:space="preserve">第2页</w:t>
      </w:r>
    </w:p>
    <w:bookmarkEnd w:id="27"/>
    <w:bookmarkEnd w:id="28"/>
    <w:bookmarkStart w:id="29" w:name="运行日志-run-log"/>
    <w:p>
      <w:pPr>
        <w:pStyle w:val="Heading2"/>
      </w:pPr>
      <w:r>
        <w:t xml:space="preserve">5. </w:t>
      </w:r>
      <w:r>
        <w:rPr>
          <w:rFonts w:hint="eastAsia"/>
        </w:rPr>
        <w:t xml:space="preserve">运行日志</w:t>
      </w:r>
      <w:r>
        <w:t xml:space="preserve"> Run log</w:t>
      </w:r>
    </w:p>
    <w:p>
      <w:pPr>
        <w:pStyle w:val="Compact"/>
        <w:numPr>
          <w:ilvl w:val="0"/>
          <w:numId w:val="1007"/>
        </w:numPr>
      </w:pPr>
      <w:r>
        <w:t xml:space="preserve">pre-event integrity: 35/35 content files match locked sha256 (manifest.json is written after the lock by design)</w:t>
      </w:r>
    </w:p>
    <w:p>
      <w:pPr>
        <w:pStyle w:val="Compact"/>
        <w:numPr>
          <w:ilvl w:val="0"/>
          <w:numId w:val="1007"/>
        </w:numPr>
      </w:pPr>
      <w:r>
        <w:t xml:space="preserve">CPI 2026-09: {</w:t>
      </w:r>
      <w:r>
        <w:t xml:space="preserve">‘headline_mom’</w:t>
      </w:r>
      <w:r>
        <w:t xml:space="preserve">: 0.6,</w:t>
      </w:r>
      <w:r>
        <w:t xml:space="preserve"> </w:t>
      </w:r>
      <w:r>
        <w:t xml:space="preserve">‘headline_yoy’</w:t>
      </w:r>
      <w:r>
        <w:t xml:space="preserve">: 3.7,</w:t>
      </w:r>
      <w:r>
        <w:t xml:space="preserve"> </w:t>
      </w:r>
      <w:r>
        <w:t xml:space="preserve">‘core_mom’</w:t>
      </w:r>
      <w:r>
        <w:t xml:space="preserve">: 0.3,</w:t>
      </w:r>
      <w:r>
        <w:t xml:space="preserve"> </w:t>
      </w:r>
      <w:r>
        <w:t xml:space="preserve">‘core_yoy’</w:t>
      </w:r>
      <w:r>
        <w:t xml:space="preserve">: 2.6} source=BLS API</w:t>
      </w:r>
    </w:p>
    <w:p>
      <w:pPr>
        <w:pStyle w:val="Compact"/>
        <w:numPr>
          <w:ilvl w:val="0"/>
          <w:numId w:val="1007"/>
        </w:numPr>
      </w:pPr>
      <w:r>
        <w:t xml:space="preserve">market session used: 2026-10-14 (release day); INTRADAY snapshot as of 09:43 ET (not close)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如果核心意外为</w:t>
      </w:r>
      <w:r>
        <w:t xml:space="preserve"> 0 </w:t>
      </w:r>
      <w:r>
        <w:rPr>
          <w:rFonts w:hint="eastAsia"/>
        </w:rPr>
        <w:t xml:space="preserve">但</w:t>
      </w:r>
      <w:r>
        <w:t xml:space="preserve"> 10 </w:t>
      </w:r>
      <w:r>
        <w:rPr>
          <w:rFonts w:hint="eastAsia"/>
        </w:rPr>
        <w:t xml:space="preserve">年期大涨，链条哪一环’断’了？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①→②成立与否无关；说明利率由其他因素（供给/期限溢价/其他数据）驱动——环③独立于CPI。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敏感度预测与实际偏差很大，说明模型错了吗？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不一定：R²</w:t>
      </w:r>
      <w:r>
        <w:t xml:space="preserve"> </w:t>
      </w:r>
      <w:r>
        <w:rPr>
          <w:rFonts w:hint="eastAsia"/>
        </w:rPr>
        <w:t xml:space="preserve">低意味着单日噪声大；要看多次事件的平均偏差（基础概率）。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jpg" /><Relationship Type="http://schemas.openxmlformats.org/officeDocument/2006/relationships/image" Id="rId24" Target="media/rId2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2026-10-14T13:43:17Z</dcterms:created>
  <dcterms:modified xsi:type="dcterms:W3CDTF">2026-10-14T13:43:17Z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