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613d94e9b85b2013251e7acb60f93985689591"/>
    <w:p>
      <w:pPr>
        <w:pStyle w:val="Heading1"/>
      </w:pPr>
      <w:r>
        <w:t xml:space="preserve">CHANGELOG v20261014-1806 — US PPI Sep 2026 Pre-Event</w:t>
      </w:r>
    </w:p>
    <w:p>
      <w:pPr>
        <w:pStyle w:val="Compact"/>
        <w:numPr>
          <w:ilvl w:val="0"/>
          <w:numId w:val="1001"/>
        </w:numPr>
      </w:pPr>
      <w:r>
        <w:t xml:space="preserve">2026-10-14: Initial pre-event lock. Consensus from Helious (0.50%/5.3%); Continuum as alternate analyst view; OS near consensus; charts 01–05; linked to CPI lock v20261013-1803 without rewrite.</w:t>
      </w:r>
    </w:p>
    <w:p>
      <w:pPr>
        <w:pStyle w:val="Compact"/>
        <w:numPr>
          <w:ilvl w:val="0"/>
          <w:numId w:val="1001"/>
        </w:numPr>
      </w:pPr>
      <w:r>
        <w:t xml:space="preserve">Status CONFIRMED via BLS PPI schedule.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2026-10-14T10:06:37Z</dcterms:created>
  <dcterms:modified xsi:type="dcterms:W3CDTF">2026-10-14T10:06:37Z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