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7b8eeebb597b54150d0f34ed6fbcd5be59dbb3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v20261014-0758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20261014-0758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+3.4% </w:t>
      </w:r>
      <w:r>
        <w:rPr>
          <w:rFonts w:hint="eastAsia"/>
        </w:rPr>
        <w:t xml:space="preserve">(2026-08-01)，核心CPI</w:t>
      </w:r>
      <w:r>
        <w:t xml:space="preserve"> </w:t>
      </w:r>
      <w:r>
        <w:rPr>
          <w:rFonts w:hint="eastAsia"/>
        </w:rPr>
        <w:t xml:space="preserve">+2.4%，核心PCE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(2026-10-13)；10Y</w:t>
      </w:r>
      <w:r>
        <w:t xml:space="preserve"> </w:t>
      </w:r>
      <w:r>
        <w:rPr>
          <w:rFonts w:hint="eastAsia"/>
        </w:rPr>
        <w:t xml:space="preserve">5.24%；10Y实际利率</w:t>
      </w:r>
      <w:r>
        <w:t xml:space="preserve"> </w:t>
      </w:r>
      <w:r>
        <w:rPr>
          <w:rFonts w:hint="eastAsia"/>
        </w:rPr>
        <w:t xml:space="preserve">2.91%；2s10s</w:t>
      </w:r>
      <w:r>
        <w:t xml:space="preserve"> 0.42%。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5,867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+2.6%，VIX</w:t>
      </w:r>
      <w:r>
        <w:t xml:space="preserve"> 15.3)。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3.11%；芝加哥金融条件指数</w:t>
      </w:r>
      <w:r>
        <w:t xml:space="preserve"> NFCI </w:t>
      </w:r>
      <w:r>
        <w:rPr>
          <w:rFonts w:hint="eastAsia"/>
        </w:rPr>
        <w:t xml:space="preserve">-0.494（负=宽松）。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7,805.450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+19.1%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30,569.481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+26.2%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12,208.795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+9.7%</w:t>
            </w:r>
          </w:p>
        </w:tc>
        <w:tc>
          <w:tcPr/>
          <w:p>
            <w:pPr>
              <w:pStyle w:val="Compact"/>
            </w:pPr>
            <w:r>
              <w:t xml:space="preserve">+90.5%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15.270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-10.7%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4.057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5.007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+37.3%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5.217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+28.8%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5.563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+20.0%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102.190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158.322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94.860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+6.1%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  <w:tc>
          <w:tcPr/>
          <w:p>
            <w:pPr>
              <w:pStyle w:val="Compact"/>
            </w:pPr>
            <w:r>
              <w:t xml:space="preserve">+61.1%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4,179.700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-4.0%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6.721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  <w:tc>
          <w:tcPr/>
          <w:p>
            <w:pPr>
              <w:pStyle w:val="Compact"/>
            </w:pPr>
            <w:r>
              <w:t xml:space="preserve">+38.6%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83,101.992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+1.6%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+9.9%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69,030.922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  <w:tc>
          <w:tcPr/>
          <w:p>
            <w:pPr>
              <w:pStyle w:val="Compact"/>
            </w:pPr>
            <w:r>
              <w:t xml:space="preserve">+50.9%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49,301.961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+87.8%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6,384.240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-8.4%</w:t>
            </w:r>
          </w:p>
        </w:tc>
        <w:tc>
          <w:tcPr/>
          <w:p>
            <w:pPr>
              <w:pStyle w:val="Compact"/>
            </w:pPr>
            <w:r>
              <w:t xml:space="preserve">-8.7%</w:t>
            </w:r>
          </w:p>
        </w:tc>
        <w:tc>
          <w:tcPr/>
          <w:p>
            <w:pPr>
              <w:pStyle w:val="Compact"/>
            </w:pPr>
            <w:r>
              <w:t xml:space="preserve">+83.1%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77.090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78.370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588.120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+8.6%</w:t>
            </w:r>
          </w:p>
        </w:tc>
        <w:tc>
          <w:tcPr/>
          <w:p>
            <w:pPr>
              <w:pStyle w:val="Compact"/>
            </w:pPr>
            <w:r>
              <w:t xml:space="preserve">+81.3%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334.131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337.765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157.411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197,000.000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4.800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5.240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2.330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2.910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3.110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6,747,560.000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880,253.000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20261014-0758.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5497847afabe89dd1b1447ed296da792dff838"/>
    <w:p>
      <w:pPr>
        <w:pStyle w:val="Heading1"/>
      </w:pPr>
      <w:r>
        <w:t xml:space="preserve">Macro &amp; Cross-Asset Special (English) v20261014-0758</w:t>
      </w:r>
    </w:p>
    <w:p>
      <w:pPr>
        <w:pStyle w:val="Compact"/>
        <w:numPr>
          <w:ilvl w:val="0"/>
          <w:numId w:val="1004"/>
        </w:numPr>
      </w:pPr>
      <w:r>
        <w:t xml:space="preserve">Inflation: CPI YoY +3.4%, core CPI +2.4%,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5.24%; 10Y real 2.91%; 2s10s 0.42%.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5,867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+2.6%, VIX 15.3).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2026-10-14T00:01:04Z</dcterms:created>
  <dcterms:modified xsi:type="dcterms:W3CDTF">2026-10-14T00:01:04Z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