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mat-初学者教学版-中文-v20261013-1622"/>
    <w:p>
      <w:pPr>
        <w:pStyle w:val="Heading1"/>
      </w:pPr>
      <w:r>
        <w:t xml:space="preserve">AMAT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Applied Materials, Inc. </w:t>
      </w:r>
      <w:r>
        <w:rPr>
          <w:rFonts w:hint="eastAsia"/>
        </w:rPr>
        <w:t xml:space="preserve">是一家</w:t>
      </w:r>
      <w:r>
        <w:t xml:space="preserve"> 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$497.53。我们的Base模型认为每股价值约</w:t>
      </w:r>
      <w:r>
        <w:t xml:space="preserve"> </w:t>
      </w:r>
      <w:r>
        <w:rPr>
          <w:rFonts w:hint="eastAsia"/>
        </w:rPr>
        <w:t xml:space="preserve">$316（-36.5%）。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rPr>
          <w:rFonts w:hint="eastAsia"/>
        </w:rPr>
        <w:t xml:space="preserve">]（实际、预期、超预期%）。下次财报约</w:t>
      </w:r>
      <w:r>
        <w:t xml:space="preserve"> 2026-11-13。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Semiconductor equipment (WFE) </w:t>
      </w:r>
      <w:r>
        <w:rPr>
          <w:rFonts w:hint="eastAsia"/>
        </w:rPr>
        <w:t xml:space="preserve">半导体设备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41.7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18.2%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8.2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7.2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248.8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35.2%；价格隐含增速</w:t>
      </w:r>
      <w:r>
        <w:t xml:space="preserve"> 48.4%。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$120 / Base $316 / Bull </w:t>
      </w:r>
      <w:r>
        <w:rPr>
          <w:rFonts w:hint="eastAsia"/>
        </w:rPr>
        <w:t xml:space="preserve">$580；概率加权</w:t>
      </w:r>
      <w:r>
        <w:t xml:space="preserve"> $333。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0f35c6e26a270177f6eda58a7b92912c6bcc1f"/>
    <w:p>
      <w:pPr>
        <w:pStyle w:val="Heading1"/>
      </w:pPr>
      <w:r>
        <w:t xml:space="preserve">AMAT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Applied Materials, Inc. is a Semiconductor equipment (WFE) </w:t>
      </w:r>
      <w:r>
        <w:rPr>
          <w:rFonts w:hint="eastAsia"/>
        </w:rPr>
        <w:t xml:space="preserve">半导体设备</w:t>
      </w:r>
      <w:r>
        <w:t xml:space="preserve"> company. Price $497.53; our Base model value ≈ $316 (-36.5%).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‘3.5’</w:t>
      </w:r>
      <w:r>
        <w:t xml:space="preserve">,</w:t>
      </w:r>
      <w:r>
        <w:t xml:space="preserve"> </w:t>
      </w:r>
      <w:r>
        <w:t xml:space="preserve">‘3.3944’</w:t>
      </w:r>
      <w:r>
        <w:t xml:space="preserve">,</w:t>
      </w:r>
      <w:r>
        <w:t xml:space="preserve"> </w:t>
      </w:r>
      <w:r>
        <w:t xml:space="preserve">‘0.0311’</w:t>
      </w:r>
      <w:r>
        <w:t xml:space="preserve">]. Next earnings ≈ 2026-11-13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30.8 bn USD; g₁ = 35.2%; m = long-run FCF margin = 25.0%; W = 13.2%.</w:t>
      </w:r>
      <w:r>
        <w:t xml:space="preserve"> </w:t>
      </w:r>
      <w:r>
        <w:t xml:space="preserve">R₁ = R₀×(1+g₁) = 41.7 bn USD; FCF₁ = 8.2 bn USD; PV = FCF₁/(1+W) = 7.2 bn USD; 10 years + terminal → EV 248.8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35.2%; price-implied growth 48.4%.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$120 / Base $316 / Bull $580; weighted $333.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— Falsifiers: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MAT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2026-10-13T08:24:42Z</dcterms:created>
  <dcterms:modified xsi:type="dcterms:W3CDTF">2026-10-13T08:24:42Z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