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ecdcddce20c5be9035ee0583c35517c0bc20db"/>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$405.01｜市值</w:t>
      </w:r>
      <w:r>
        <w:t xml:space="preserve"> 57.4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$205.44</w:t>
            </w:r>
          </w:p>
        </w:tc>
        <w:tc>
          <w:tcPr/>
          <w:p>
            <w:pPr>
              <w:pStyle w:val="Compact"/>
            </w:pPr>
            <w:r>
              <w:t xml:space="preserve">-49.3%</w:t>
            </w:r>
          </w:p>
        </w:tc>
      </w:tr>
      <w:tr>
        <w:tc>
          <w:tcPr/>
          <w:p>
            <w:pPr>
              <w:pStyle w:val="Compact"/>
            </w:pPr>
            <w:r>
              <w:t xml:space="preserve">2Q</w:t>
            </w:r>
          </w:p>
        </w:tc>
        <w:tc>
          <w:tcPr/>
          <w:p>
            <w:pPr>
              <w:pStyle w:val="Compact"/>
            </w:pPr>
            <w:r>
              <w:t xml:space="preserve">Bull</w:t>
            </w:r>
          </w:p>
        </w:tc>
        <w:tc>
          <w:tcPr/>
          <w:p>
            <w:pPr>
              <w:pStyle w:val="Compact"/>
            </w:pPr>
            <w:r>
              <w:t xml:space="preserve">$337.49</w:t>
            </w:r>
          </w:p>
        </w:tc>
        <w:tc>
          <w:tcPr/>
          <w:p>
            <w:pPr>
              <w:pStyle w:val="Compact"/>
            </w:pPr>
            <w:r>
              <w:t xml:space="preserve">-16.7%</w:t>
            </w:r>
          </w:p>
        </w:tc>
      </w:tr>
      <w:tr>
        <w:tc>
          <w:tcPr/>
          <w:p>
            <w:pPr>
              <w:pStyle w:val="Compact"/>
            </w:pPr>
            <w:r>
              <w:t xml:space="preserve">4Q</w:t>
            </w:r>
          </w:p>
        </w:tc>
        <w:tc>
          <w:tcPr/>
          <w:p>
            <w:pPr>
              <w:pStyle w:val="Compact"/>
            </w:pPr>
            <w:r>
              <w:t xml:space="preserve">Bear</w:t>
            </w:r>
          </w:p>
        </w:tc>
        <w:tc>
          <w:tcPr/>
          <w:p>
            <w:pPr>
              <w:pStyle w:val="Compact"/>
            </w:pPr>
            <w:r>
              <w:t xml:space="preserve">$93.09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$225.31</w:t>
            </w:r>
          </w:p>
        </w:tc>
        <w:tc>
          <w:tcPr/>
          <w:p>
            <w:pPr>
              <w:pStyle w:val="Compact"/>
            </w:pPr>
            <w:r>
              <w:t xml:space="preserve">-44.4%</w:t>
            </w:r>
          </w:p>
        </w:tc>
      </w:tr>
      <w:tr>
        <w:tc>
          <w:tcPr/>
          <w:p>
            <w:pPr>
              <w:pStyle w:val="Compact"/>
            </w:pPr>
            <w:r>
              <w:t xml:space="preserve">4Q</w:t>
            </w:r>
          </w:p>
        </w:tc>
        <w:tc>
          <w:tcPr/>
          <w:p>
            <w:pPr>
              <w:pStyle w:val="Compact"/>
            </w:pPr>
            <w:r>
              <w:t xml:space="preserve">Bull</w:t>
            </w:r>
          </w:p>
        </w:tc>
        <w:tc>
          <w:tcPr/>
          <w:p>
            <w:pPr>
              <w:pStyle w:val="Compact"/>
            </w:pPr>
            <w:r>
              <w:t xml:space="preserve">$389.26</w:t>
            </w:r>
          </w:p>
        </w:tc>
        <w:tc>
          <w:tcPr/>
          <w:p>
            <w:pPr>
              <w:pStyle w:val="Compact"/>
            </w:pPr>
            <w:r>
              <w:t xml:space="preserve">-3.9%</w:t>
            </w:r>
          </w:p>
        </w:tc>
      </w:tr>
      <w:tr>
        <w:tc>
          <w:tcPr/>
          <w:p>
            <w:pPr>
              <w:pStyle w:val="Compact"/>
            </w:pPr>
            <w:r>
              <w:t xml:space="preserve">6Q</w:t>
            </w:r>
          </w:p>
        </w:tc>
        <w:tc>
          <w:tcPr/>
          <w:p>
            <w:pPr>
              <w:pStyle w:val="Compact"/>
            </w:pPr>
            <w:r>
              <w:t xml:space="preserve">Bear</w:t>
            </w:r>
          </w:p>
        </w:tc>
        <w:tc>
          <w:tcPr/>
          <w:p>
            <w:pPr>
              <w:pStyle w:val="Compact"/>
            </w:pPr>
            <w:r>
              <w:t xml:space="preserve">$93.34</w:t>
            </w:r>
          </w:p>
        </w:tc>
        <w:tc>
          <w:tcPr/>
          <w:p>
            <w:pPr>
              <w:pStyle w:val="Compact"/>
            </w:pPr>
            <w:r>
              <w:t xml:space="preserve">-77.0%</w:t>
            </w:r>
          </w:p>
        </w:tc>
      </w:tr>
      <w:tr>
        <w:tc>
          <w:tcPr/>
          <w:p>
            <w:pPr>
              <w:pStyle w:val="Compact"/>
            </w:pPr>
            <w:r>
              <w:t xml:space="preserve">6Q</w:t>
            </w:r>
          </w:p>
        </w:tc>
        <w:tc>
          <w:tcPr/>
          <w:p>
            <w:pPr>
              <w:pStyle w:val="Compact"/>
            </w:pPr>
            <w:r>
              <w:t xml:space="preserve">Base</w:t>
            </w:r>
          </w:p>
        </w:tc>
        <w:tc>
          <w:tcPr/>
          <w:p>
            <w:pPr>
              <w:pStyle w:val="Compact"/>
            </w:pPr>
            <w:r>
              <w:t xml:space="preserve">$246.98</w:t>
            </w:r>
          </w:p>
        </w:tc>
        <w:tc>
          <w:tcPr/>
          <w:p>
            <w:pPr>
              <w:pStyle w:val="Compact"/>
            </w:pPr>
            <w:r>
              <w:t xml:space="preserve">-39.0%</w:t>
            </w:r>
          </w:p>
        </w:tc>
      </w:tr>
      <w:tr>
        <w:tc>
          <w:tcPr/>
          <w:p>
            <w:pPr>
              <w:pStyle w:val="Compact"/>
            </w:pPr>
            <w:r>
              <w:t xml:space="preserve">6Q</w:t>
            </w:r>
          </w:p>
        </w:tc>
        <w:tc>
          <w:tcPr/>
          <w:p>
            <w:pPr>
              <w:pStyle w:val="Compact"/>
            </w:pPr>
            <w:r>
              <w:t xml:space="preserve">Bull</w:t>
            </w:r>
          </w:p>
        </w:tc>
        <w:tc>
          <w:tcPr/>
          <w:p>
            <w:pPr>
              <w:pStyle w:val="Compact"/>
            </w:pPr>
            <w:r>
              <w:t xml:space="preserve">$448.51</w:t>
            </w:r>
          </w:p>
        </w:tc>
        <w:tc>
          <w:tcPr/>
          <w:p>
            <w:pPr>
              <w:pStyle w:val="Compact"/>
            </w:pPr>
            <w:r>
              <w:t xml:space="preserve">10.7%</w:t>
            </w:r>
          </w:p>
        </w:tc>
      </w:tr>
      <w:tr>
        <w:tc>
          <w:tcPr/>
          <w:p>
            <w:pPr>
              <w:pStyle w:val="Compact"/>
            </w:pPr>
            <w:r>
              <w:t xml:space="preserve">8Q</w:t>
            </w:r>
          </w:p>
        </w:tc>
        <w:tc>
          <w:tcPr/>
          <w:p>
            <w:pPr>
              <w:pStyle w:val="Compact"/>
            </w:pPr>
            <w:r>
              <w:t xml:space="preserve">Bear</w:t>
            </w:r>
          </w:p>
        </w:tc>
        <w:tc>
          <w:tcPr/>
          <w:p>
            <w:pPr>
              <w:pStyle w:val="Compact"/>
            </w:pPr>
            <w:r>
              <w:t xml:space="preserve">$93.55</w:t>
            </w:r>
          </w:p>
        </w:tc>
        <w:tc>
          <w:tcPr/>
          <w:p>
            <w:pPr>
              <w:pStyle w:val="Compact"/>
            </w:pPr>
            <w:r>
              <w:t xml:space="preserve">-76.9%</w:t>
            </w:r>
          </w:p>
        </w:tc>
      </w:tr>
      <w:tr>
        <w:tc>
          <w:tcPr/>
          <w:p>
            <w:pPr>
              <w:pStyle w:val="Compact"/>
            </w:pPr>
            <w:r>
              <w:t xml:space="preserve">8Q</w:t>
            </w:r>
          </w:p>
        </w:tc>
        <w:tc>
          <w:tcPr/>
          <w:p>
            <w:pPr>
              <w:pStyle w:val="Compact"/>
            </w:pPr>
            <w:r>
              <w:t xml:space="preserve">Base</w:t>
            </w:r>
          </w:p>
        </w:tc>
        <w:tc>
          <w:tcPr/>
          <w:p>
            <w:pPr>
              <w:pStyle w:val="Compact"/>
            </w:pPr>
            <w:r>
              <w:t xml:space="preserve">$270.61</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$516.31</w:t>
            </w:r>
          </w:p>
        </w:tc>
        <w:tc>
          <w:tcPr/>
          <w:p>
            <w:pPr>
              <w:pStyle w:val="Compact"/>
            </w:pPr>
            <w:r>
              <w:t xml:space="preserve">27.5%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46.2x</w:t>
            </w:r>
          </w:p>
        </w:tc>
      </w:tr>
      <w:tr>
        <w:tc>
          <w:tcPr/>
          <w:p>
            <w:pPr>
              <w:pStyle w:val="Compact"/>
            </w:pPr>
            <w:r>
              <w:t xml:space="preserve">4Q</w:t>
            </w:r>
          </w:p>
        </w:tc>
        <w:tc>
          <w:tcPr/>
          <w:p>
            <w:pPr>
              <w:pStyle w:val="Compact"/>
            </w:pPr>
            <w:r>
              <w:t xml:space="preserve">40.0x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29.9x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$80.55</w:t>
            </w:r>
          </w:p>
        </w:tc>
        <w:tc>
          <w:tcPr/>
          <w:p>
            <w:pPr>
              <w:pStyle w:val="Compact"/>
            </w:pPr>
            <w:r>
              <w:t xml:space="preserve">-80.1%</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$210.95</w:t>
            </w:r>
          </w:p>
        </w:tc>
        <w:tc>
          <w:tcPr/>
          <w:p>
            <w:pPr>
              <w:pStyle w:val="Compact"/>
            </w:pPr>
            <w:r>
              <w:t xml:space="preserve">-47.9%</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$384.38</w:t>
            </w:r>
          </w:p>
        </w:tc>
        <w:tc>
          <w:tcPr/>
          <w:p>
            <w:pPr>
              <w:pStyle w:val="Compact"/>
            </w:pPr>
            <w:r>
              <w:t xml:space="preserve">-5.1%</w:t>
            </w:r>
          </w:p>
        </w:tc>
      </w:tr>
    </w:tbl>
    <w:p>
      <w:pPr>
        <w:pStyle w:val="BodyText"/>
      </w:pPr>
      <w:r>
        <w:rPr>
          <w:rFonts w:hint="eastAsia"/>
        </w:rPr>
        <w:t xml:space="preserve">概率加权价值</w:t>
      </w:r>
      <w:r>
        <w:t xml:space="preserve"> </w:t>
      </w:r>
      <w:r>
        <w:rPr>
          <w:b/>
          <w:bCs/>
        </w:rPr>
        <w:t xml:space="preserve">$221.71</w:t>
      </w:r>
      <w:r>
        <w:rPr>
          <w:rFonts w:hint="eastAsia"/>
        </w:rPr>
        <w:t xml:space="preserve">（相对现价</w:t>
      </w:r>
      <w:r>
        <w:t xml:space="preserve"> </w:t>
      </w:r>
      <w:r>
        <w:rPr>
          <w:rFonts w:hint="eastAsia"/>
        </w:rPr>
        <w:t xml:space="preserve">-45.3%）。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30.6 bn </w:t>
      </w:r>
      <w:r>
        <w:rPr>
          <w:rFonts w:hint="eastAsia"/>
        </w:rPr>
        <w:t xml:space="preserve">USD；终值占比</w:t>
      </w:r>
      <w:r>
        <w:t xml:space="preserve"> 53.9%。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49.1%</w:t>
      </w:r>
      <w:r>
        <w:rPr>
          <w:rFonts w:hint="eastAsia"/>
        </w:rPr>
        <w:t xml:space="preserve">；一致预期FY+1增速</w:t>
      </w:r>
      <w:r>
        <w:t xml:space="preserve"> 30.8%。</w:t>
      </w:r>
    </w:p>
    <w:p>
      <w:pPr>
        <w:numPr>
          <w:ilvl w:val="0"/>
          <w:numId w:val="1005"/>
        </w:numPr>
      </w:pPr>
      <w:r>
        <w:t xml:space="preserve">WACC (CAPM) = rf 5.2% + β 1.29 × ERP 5.0% = 11.7%。</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57.4 bn USD | 9.6x | 34.2x | 37.0% | 44.1% | 1.4% |</w:t>
      </w:r>
      <w:r>
        <w:t xml:space="preserve"> </w:t>
      </w:r>
      <w:r>
        <w:t xml:space="preserve">| COHR | 56.7 bn USD | 8.2x | 20.5x | 33.7% | 37.5% | -1.1% |</w:t>
      </w:r>
      <w:r>
        <w:t xml:space="preserve"> </w:t>
      </w:r>
      <w:r>
        <w:t xml:space="preserve">| LITE | 90.2 bn USD | 29.3x | 28.0x | 109.3% | 44.2% | 0.2% |</w:t>
      </w:r>
      <w:r>
        <w:t xml:space="preserve"> </w:t>
      </w:r>
      <w:r>
        <w:t xml:space="preserve">| NOK | 55.4 bn USD | 2.6x | 20.5x | 8.4% | 45.5% | 2.1% |</w:t>
      </w:r>
      <w:r>
        <w:t xml:space="preserve"> </w:t>
      </w:r>
      <w:r>
        <w:t xml:space="preserve">| CSCO | 454.7 bn USD | 7.4x | 20.5x | 17.6% | 64.5% | 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405</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5.743e+10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0.3077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0.3077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c7ea85433ae9b49354550fb331309bebee047a"/>
    <w:p>
      <w:pPr>
        <w:pStyle w:val="Heading1"/>
      </w:pPr>
      <w:r>
        <w:t xml:space="preserve">CIEN Ciena Corporation — Equity Deep Dive (Professional English) v20261013-1812</w:t>
      </w:r>
    </w:p>
    <w:p>
      <w:pPr>
        <w:pStyle w:val="BlockText"/>
      </w:pPr>
      <w:r>
        <w:t xml:space="preserve">Data as of 2026-10-13 18:12 SGT | Price $405.01 | Mkt cap 57.4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$205.44</w:t>
            </w:r>
          </w:p>
        </w:tc>
        <w:tc>
          <w:tcPr/>
          <w:p>
            <w:pPr>
              <w:pStyle w:val="Compact"/>
            </w:pPr>
            <w:r>
              <w:t xml:space="preserve">-49.3%</w:t>
            </w:r>
          </w:p>
        </w:tc>
      </w:tr>
      <w:tr>
        <w:tc>
          <w:tcPr/>
          <w:p>
            <w:pPr>
              <w:pStyle w:val="Compact"/>
            </w:pPr>
            <w:r>
              <w:t xml:space="preserve">2Q</w:t>
            </w:r>
          </w:p>
        </w:tc>
        <w:tc>
          <w:tcPr/>
          <w:p>
            <w:pPr>
              <w:pStyle w:val="Compact"/>
            </w:pPr>
            <w:r>
              <w:t xml:space="preserve">Bull</w:t>
            </w:r>
          </w:p>
        </w:tc>
        <w:tc>
          <w:tcPr/>
          <w:p>
            <w:pPr>
              <w:pStyle w:val="Compact"/>
            </w:pPr>
            <w:r>
              <w:t xml:space="preserve">$337.49</w:t>
            </w:r>
          </w:p>
        </w:tc>
        <w:tc>
          <w:tcPr/>
          <w:p>
            <w:pPr>
              <w:pStyle w:val="Compact"/>
            </w:pPr>
            <w:r>
              <w:t xml:space="preserve">-16.7%</w:t>
            </w:r>
          </w:p>
        </w:tc>
      </w:tr>
      <w:tr>
        <w:tc>
          <w:tcPr/>
          <w:p>
            <w:pPr>
              <w:pStyle w:val="Compact"/>
            </w:pPr>
            <w:r>
              <w:t xml:space="preserve">4Q</w:t>
            </w:r>
          </w:p>
        </w:tc>
        <w:tc>
          <w:tcPr/>
          <w:p>
            <w:pPr>
              <w:pStyle w:val="Compact"/>
            </w:pPr>
            <w:r>
              <w:t xml:space="preserve">Bear</w:t>
            </w:r>
          </w:p>
        </w:tc>
        <w:tc>
          <w:tcPr/>
          <w:p>
            <w:pPr>
              <w:pStyle w:val="Compact"/>
            </w:pPr>
            <w:r>
              <w:t xml:space="preserve">$93.09</w:t>
            </w:r>
          </w:p>
        </w:tc>
        <w:tc>
          <w:tcPr/>
          <w:p>
            <w:pPr>
              <w:pStyle w:val="Compact"/>
            </w:pPr>
            <w:r>
              <w:t xml:space="preserve">-77.0%</w:t>
            </w:r>
          </w:p>
        </w:tc>
      </w:tr>
      <w:tr>
        <w:tc>
          <w:tcPr/>
          <w:p>
            <w:pPr>
              <w:pStyle w:val="Compact"/>
            </w:pPr>
            <w:r>
              <w:t xml:space="preserve">4Q</w:t>
            </w:r>
          </w:p>
        </w:tc>
        <w:tc>
          <w:tcPr/>
          <w:p>
            <w:pPr>
              <w:pStyle w:val="Compact"/>
            </w:pPr>
            <w:r>
              <w:t xml:space="preserve">Base</w:t>
            </w:r>
          </w:p>
        </w:tc>
        <w:tc>
          <w:tcPr/>
          <w:p>
            <w:pPr>
              <w:pStyle w:val="Compact"/>
            </w:pPr>
            <w:r>
              <w:t xml:space="preserve">$225.31</w:t>
            </w:r>
          </w:p>
        </w:tc>
        <w:tc>
          <w:tcPr/>
          <w:p>
            <w:pPr>
              <w:pStyle w:val="Compact"/>
            </w:pPr>
            <w:r>
              <w:t xml:space="preserve">-44.4%</w:t>
            </w:r>
          </w:p>
        </w:tc>
      </w:tr>
      <w:tr>
        <w:tc>
          <w:tcPr/>
          <w:p>
            <w:pPr>
              <w:pStyle w:val="Compact"/>
            </w:pPr>
            <w:r>
              <w:t xml:space="preserve">4Q</w:t>
            </w:r>
          </w:p>
        </w:tc>
        <w:tc>
          <w:tcPr/>
          <w:p>
            <w:pPr>
              <w:pStyle w:val="Compact"/>
            </w:pPr>
            <w:r>
              <w:t xml:space="preserve">Bull</w:t>
            </w:r>
          </w:p>
        </w:tc>
        <w:tc>
          <w:tcPr/>
          <w:p>
            <w:pPr>
              <w:pStyle w:val="Compact"/>
            </w:pPr>
            <w:r>
              <w:t xml:space="preserve">$389.26</w:t>
            </w:r>
          </w:p>
        </w:tc>
        <w:tc>
          <w:tcPr/>
          <w:p>
            <w:pPr>
              <w:pStyle w:val="Compact"/>
            </w:pPr>
            <w:r>
              <w:t xml:space="preserve">-3.9%</w:t>
            </w:r>
          </w:p>
        </w:tc>
      </w:tr>
      <w:tr>
        <w:tc>
          <w:tcPr/>
          <w:p>
            <w:pPr>
              <w:pStyle w:val="Compact"/>
            </w:pPr>
            <w:r>
              <w:t xml:space="preserve">6Q</w:t>
            </w:r>
          </w:p>
        </w:tc>
        <w:tc>
          <w:tcPr/>
          <w:p>
            <w:pPr>
              <w:pStyle w:val="Compact"/>
            </w:pPr>
            <w:r>
              <w:t xml:space="preserve">Bear</w:t>
            </w:r>
          </w:p>
        </w:tc>
        <w:tc>
          <w:tcPr/>
          <w:p>
            <w:pPr>
              <w:pStyle w:val="Compact"/>
            </w:pPr>
            <w:r>
              <w:t xml:space="preserve">$93.34</w:t>
            </w:r>
          </w:p>
        </w:tc>
        <w:tc>
          <w:tcPr/>
          <w:p>
            <w:pPr>
              <w:pStyle w:val="Compact"/>
            </w:pPr>
            <w:r>
              <w:t xml:space="preserve">-77.0%</w:t>
            </w:r>
          </w:p>
        </w:tc>
      </w:tr>
      <w:tr>
        <w:tc>
          <w:tcPr/>
          <w:p>
            <w:pPr>
              <w:pStyle w:val="Compact"/>
            </w:pPr>
            <w:r>
              <w:t xml:space="preserve">6Q</w:t>
            </w:r>
          </w:p>
        </w:tc>
        <w:tc>
          <w:tcPr/>
          <w:p>
            <w:pPr>
              <w:pStyle w:val="Compact"/>
            </w:pPr>
            <w:r>
              <w:t xml:space="preserve">Base</w:t>
            </w:r>
          </w:p>
        </w:tc>
        <w:tc>
          <w:tcPr/>
          <w:p>
            <w:pPr>
              <w:pStyle w:val="Compact"/>
            </w:pPr>
            <w:r>
              <w:t xml:space="preserve">$246.98</w:t>
            </w:r>
          </w:p>
        </w:tc>
        <w:tc>
          <w:tcPr/>
          <w:p>
            <w:pPr>
              <w:pStyle w:val="Compact"/>
            </w:pPr>
            <w:r>
              <w:t xml:space="preserve">-39.0%</w:t>
            </w:r>
          </w:p>
        </w:tc>
      </w:tr>
      <w:tr>
        <w:tc>
          <w:tcPr/>
          <w:p>
            <w:pPr>
              <w:pStyle w:val="Compact"/>
            </w:pPr>
            <w:r>
              <w:t xml:space="preserve">6Q</w:t>
            </w:r>
          </w:p>
        </w:tc>
        <w:tc>
          <w:tcPr/>
          <w:p>
            <w:pPr>
              <w:pStyle w:val="Compact"/>
            </w:pPr>
            <w:r>
              <w:t xml:space="preserve">Bull</w:t>
            </w:r>
          </w:p>
        </w:tc>
        <w:tc>
          <w:tcPr/>
          <w:p>
            <w:pPr>
              <w:pStyle w:val="Compact"/>
            </w:pPr>
            <w:r>
              <w:t xml:space="preserve">$448.51</w:t>
            </w:r>
          </w:p>
        </w:tc>
        <w:tc>
          <w:tcPr/>
          <w:p>
            <w:pPr>
              <w:pStyle w:val="Compact"/>
            </w:pPr>
            <w:r>
              <w:t xml:space="preserve">10.7%</w:t>
            </w:r>
          </w:p>
        </w:tc>
      </w:tr>
      <w:tr>
        <w:tc>
          <w:tcPr/>
          <w:p>
            <w:pPr>
              <w:pStyle w:val="Compact"/>
            </w:pPr>
            <w:r>
              <w:t xml:space="preserve">8Q</w:t>
            </w:r>
          </w:p>
        </w:tc>
        <w:tc>
          <w:tcPr/>
          <w:p>
            <w:pPr>
              <w:pStyle w:val="Compact"/>
            </w:pPr>
            <w:r>
              <w:t xml:space="preserve">Bear</w:t>
            </w:r>
          </w:p>
        </w:tc>
        <w:tc>
          <w:tcPr/>
          <w:p>
            <w:pPr>
              <w:pStyle w:val="Compact"/>
            </w:pPr>
            <w:r>
              <w:t xml:space="preserve">$93.55</w:t>
            </w:r>
          </w:p>
        </w:tc>
        <w:tc>
          <w:tcPr/>
          <w:p>
            <w:pPr>
              <w:pStyle w:val="Compact"/>
            </w:pPr>
            <w:r>
              <w:t xml:space="preserve">-76.9%</w:t>
            </w:r>
          </w:p>
        </w:tc>
      </w:tr>
      <w:tr>
        <w:tc>
          <w:tcPr/>
          <w:p>
            <w:pPr>
              <w:pStyle w:val="Compact"/>
            </w:pPr>
            <w:r>
              <w:t xml:space="preserve">8Q</w:t>
            </w:r>
          </w:p>
        </w:tc>
        <w:tc>
          <w:tcPr/>
          <w:p>
            <w:pPr>
              <w:pStyle w:val="Compact"/>
            </w:pPr>
            <w:r>
              <w:t xml:space="preserve">Base</w:t>
            </w:r>
          </w:p>
        </w:tc>
        <w:tc>
          <w:tcPr/>
          <w:p>
            <w:pPr>
              <w:pStyle w:val="Compact"/>
            </w:pPr>
            <w:r>
              <w:t xml:space="preserve">$270.61</w:t>
            </w:r>
          </w:p>
        </w:tc>
        <w:tc>
          <w:tcPr/>
          <w:p>
            <w:pPr>
              <w:pStyle w:val="Compact"/>
            </w:pPr>
            <w:r>
              <w:t xml:space="preserve">-33.2%</w:t>
            </w:r>
          </w:p>
        </w:tc>
      </w:tr>
      <w:tr>
        <w:tc>
          <w:tcPr/>
          <w:p>
            <w:pPr>
              <w:pStyle w:val="Compact"/>
            </w:pPr>
            <w:r>
              <w:t xml:space="preserve">8Q</w:t>
            </w:r>
          </w:p>
        </w:tc>
        <w:tc>
          <w:tcPr/>
          <w:p>
            <w:pPr>
              <w:pStyle w:val="Compact"/>
            </w:pPr>
            <w:r>
              <w:t xml:space="preserve">Bull</w:t>
            </w:r>
          </w:p>
        </w:tc>
        <w:tc>
          <w:tcPr/>
          <w:p>
            <w:pPr>
              <w:pStyle w:val="Compact"/>
            </w:pPr>
            <w:r>
              <w:t xml:space="preserve">$516.31</w:t>
            </w:r>
          </w:p>
        </w:tc>
        <w:tc>
          <w:tcPr/>
          <w:p>
            <w:pPr>
              <w:pStyle w:val="Compact"/>
            </w:pPr>
            <w:r>
              <w:t xml:space="preserve">27.5%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46.2x</w:t>
            </w:r>
          </w:p>
        </w:tc>
      </w:tr>
      <w:tr>
        <w:tc>
          <w:tcPr/>
          <w:p>
            <w:pPr>
              <w:pStyle w:val="Compact"/>
            </w:pPr>
            <w:r>
              <w:t xml:space="preserve">4Q</w:t>
            </w:r>
          </w:p>
        </w:tc>
        <w:tc>
          <w:tcPr/>
          <w:p>
            <w:pPr>
              <w:pStyle w:val="Compact"/>
            </w:pPr>
            <w:r>
              <w:t xml:space="preserve">40.0x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29.9x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$80.55</w:t>
            </w:r>
          </w:p>
        </w:tc>
        <w:tc>
          <w:tcPr/>
          <w:p>
            <w:pPr>
              <w:pStyle w:val="Compact"/>
            </w:pPr>
            <w:r>
              <w:t xml:space="preserve">-80.1%</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$210.95</w:t>
            </w:r>
          </w:p>
        </w:tc>
        <w:tc>
          <w:tcPr/>
          <w:p>
            <w:pPr>
              <w:pStyle w:val="Compact"/>
            </w:pPr>
            <w:r>
              <w:t xml:space="preserve">-47.9%</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$384.38</w:t>
            </w:r>
          </w:p>
        </w:tc>
        <w:tc>
          <w:tcPr/>
          <w:p>
            <w:pPr>
              <w:pStyle w:val="Compact"/>
            </w:pPr>
            <w:r>
              <w:t xml:space="preserve">-5.1%</w:t>
            </w:r>
          </w:p>
        </w:tc>
      </w:tr>
    </w:tbl>
    <w:p>
      <w:pPr>
        <w:pStyle w:val="BodyText"/>
      </w:pPr>
      <w:r>
        <w:t xml:space="preserve">Probability-weighted value</w:t>
      </w:r>
      <w:r>
        <w:t xml:space="preserve"> </w:t>
      </w:r>
      <w:r>
        <w:rPr>
          <w:b/>
          <w:bCs/>
        </w:rPr>
        <w:t xml:space="preserve">$221.71</w:t>
      </w:r>
      <w:r>
        <w:t xml:space="preserve"> </w:t>
      </w:r>
      <w:r>
        <w:t xml:space="preserve">(-45.3%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30.6 bn USD; terminal share 53.9%.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49.1%</w:t>
      </w:r>
      <w:r>
        <w:t xml:space="preserve"> </w:t>
      </w:r>
      <w:r>
        <w:t xml:space="preserve">vs consensus FY+1 30.8%.</w:t>
      </w:r>
    </w:p>
    <w:p>
      <w:pPr>
        <w:pStyle w:val="Compact"/>
        <w:numPr>
          <w:ilvl w:val="0"/>
          <w:numId w:val="1013"/>
        </w:numPr>
      </w:pPr>
      <w:r>
        <w:t xml:space="preserve">WACC (CAPM) = rf 5.2% + β 1.29 × ERP 5.0% = 11.7%.</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2026-10-13T10:14:00Z</dcterms:created>
  <dcterms:modified xsi:type="dcterms:W3CDTF">2026-10-13T10:14:00Z</dcterms:modified>
</cp:coreProperties>
</file>

<file path=docProps/custom.xml><?xml version="1.0" encoding="utf-8"?>
<Properties xmlns="http://schemas.openxmlformats.org/officeDocument/2006/custom-properties" xmlns:vt="http://schemas.openxmlformats.org/officeDocument/2006/docPropsVTypes"/>
</file>