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0970c7423b8f156567ca63bcedd4f29f91378e"/>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$288.02｜市值</w:t>
      </w:r>
      <w:r>
        <w:t xml:space="preserve"> 56.7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$-50.69</w:t>
            </w:r>
          </w:p>
        </w:tc>
        <w:tc>
          <w:tcPr/>
          <w:p>
            <w:pPr>
              <w:pStyle w:val="Compact"/>
            </w:pPr>
            <w:r>
              <w:t xml:space="preserve">-117.6%</w:t>
            </w:r>
          </w:p>
        </w:tc>
      </w:tr>
      <w:tr>
        <w:tc>
          <w:tcPr/>
          <w:p>
            <w:pPr>
              <w:pStyle w:val="Compact"/>
            </w:pPr>
            <w:r>
              <w:t xml:space="preserve">2Q</w:t>
            </w:r>
          </w:p>
        </w:tc>
        <w:tc>
          <w:tcPr/>
          <w:p>
            <w:pPr>
              <w:pStyle w:val="Compact"/>
            </w:pPr>
            <w:r>
              <w:t xml:space="preserve">Base</w:t>
            </w:r>
          </w:p>
        </w:tc>
        <w:tc>
          <w:tcPr/>
          <w:p>
            <w:pPr>
              <w:pStyle w:val="Compact"/>
            </w:pPr>
            <w:r>
              <w:t xml:space="preserve">$-85.74</w:t>
            </w:r>
          </w:p>
        </w:tc>
        <w:tc>
          <w:tcPr/>
          <w:p>
            <w:pPr>
              <w:pStyle w:val="Compact"/>
            </w:pPr>
            <w:r>
              <w:t xml:space="preserve">-129.8%</w:t>
            </w:r>
          </w:p>
        </w:tc>
      </w:tr>
      <w:tr>
        <w:tc>
          <w:tcPr/>
          <w:p>
            <w:pPr>
              <w:pStyle w:val="Compact"/>
            </w:pPr>
            <w:r>
              <w:t xml:space="preserve">2Q</w:t>
            </w:r>
          </w:p>
        </w:tc>
        <w:tc>
          <w:tcPr/>
          <w:p>
            <w:pPr>
              <w:pStyle w:val="Compact"/>
            </w:pPr>
            <w:r>
              <w:t xml:space="preserve">Bull</w:t>
            </w:r>
          </w:p>
        </w:tc>
        <w:tc>
          <w:tcPr/>
          <w:p>
            <w:pPr>
              <w:pStyle w:val="Compact"/>
            </w:pPr>
            <w:r>
              <w:t xml:space="preserve">$-116.58</w:t>
            </w:r>
          </w:p>
        </w:tc>
        <w:tc>
          <w:tcPr/>
          <w:p>
            <w:pPr>
              <w:pStyle w:val="Compact"/>
            </w:pPr>
            <w:r>
              <w:t xml:space="preserve">-140.5%</w:t>
            </w:r>
          </w:p>
        </w:tc>
      </w:tr>
      <w:tr>
        <w:tc>
          <w:tcPr/>
          <w:p>
            <w:pPr>
              <w:pStyle w:val="Compact"/>
            </w:pPr>
            <w:r>
              <w:t xml:space="preserve">4Q</w:t>
            </w:r>
          </w:p>
        </w:tc>
        <w:tc>
          <w:tcPr/>
          <w:p>
            <w:pPr>
              <w:pStyle w:val="Compact"/>
            </w:pPr>
            <w:r>
              <w:t xml:space="preserve">Bear</w:t>
            </w:r>
          </w:p>
        </w:tc>
        <w:tc>
          <w:tcPr/>
          <w:p>
            <w:pPr>
              <w:pStyle w:val="Compact"/>
            </w:pPr>
            <w:r>
              <w:t xml:space="preserve">$-33.26</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$-48.35</w:t>
            </w:r>
          </w:p>
        </w:tc>
        <w:tc>
          <w:tcPr/>
          <w:p>
            <w:pPr>
              <w:pStyle w:val="Compact"/>
            </w:pPr>
            <w:r>
              <w:t xml:space="preserve">-116.8%</w:t>
            </w:r>
          </w:p>
        </w:tc>
      </w:tr>
      <w:tr>
        <w:tc>
          <w:tcPr/>
          <w:p>
            <w:pPr>
              <w:pStyle w:val="Compact"/>
            </w:pPr>
            <w:r>
              <w:t xml:space="preserve">4Q</w:t>
            </w:r>
          </w:p>
        </w:tc>
        <w:tc>
          <w:tcPr/>
          <w:p>
            <w:pPr>
              <w:pStyle w:val="Compact"/>
            </w:pPr>
            <w:r>
              <w:t xml:space="preserve">Bull</w:t>
            </w:r>
          </w:p>
        </w:tc>
        <w:tc>
          <w:tcPr/>
          <w:p>
            <w:pPr>
              <w:pStyle w:val="Compact"/>
            </w:pPr>
            <w:r>
              <w:t xml:space="preserve">$-52.46</w:t>
            </w:r>
          </w:p>
        </w:tc>
        <w:tc>
          <w:tcPr/>
          <w:p>
            <w:pPr>
              <w:pStyle w:val="Compact"/>
            </w:pPr>
            <w:r>
              <w:t xml:space="preserve">-118.2%</w:t>
            </w:r>
          </w:p>
        </w:tc>
      </w:tr>
      <w:tr>
        <w:tc>
          <w:tcPr/>
          <w:p>
            <w:pPr>
              <w:pStyle w:val="Compact"/>
            </w:pPr>
            <w:r>
              <w:t xml:space="preserve">6Q</w:t>
            </w:r>
          </w:p>
        </w:tc>
        <w:tc>
          <w:tcPr/>
          <w:p>
            <w:pPr>
              <w:pStyle w:val="Compact"/>
            </w:pPr>
            <w:r>
              <w:t xml:space="preserve">Bear</w:t>
            </w:r>
          </w:p>
        </w:tc>
        <w:tc>
          <w:tcPr/>
          <w:p>
            <w:pPr>
              <w:pStyle w:val="Compact"/>
            </w:pPr>
            <w:r>
              <w:t xml:space="preserve">$-15.08</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$34.08</w:t>
            </w:r>
          </w:p>
        </w:tc>
        <w:tc>
          <w:tcPr/>
          <w:p>
            <w:pPr>
              <w:pStyle w:val="Compact"/>
            </w:pPr>
            <w:r>
              <w:t xml:space="preserve">-88.2%</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-98.6%</w:t>
            </w:r>
          </w:p>
        </w:tc>
      </w:tr>
      <w:tr>
        <w:tc>
          <w:tcPr/>
          <w:p>
            <w:pPr>
              <w:pStyle w:val="Compact"/>
            </w:pPr>
            <w:r>
              <w:t xml:space="preserve">8Q</w:t>
            </w:r>
          </w:p>
        </w:tc>
        <w:tc>
          <w:tcPr/>
          <w:p>
            <w:pPr>
              <w:pStyle w:val="Compact"/>
            </w:pPr>
            <w:r>
              <w:t xml:space="preserve">Base</w:t>
            </w:r>
          </w:p>
        </w:tc>
        <w:tc>
          <w:tcPr/>
          <w:p>
            <w:pPr>
              <w:pStyle w:val="Compact"/>
            </w:pPr>
            <w:r>
              <w:t xml:space="preserve">$54.35</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$148.46</w:t>
            </w:r>
          </w:p>
        </w:tc>
        <w:tc>
          <w:tcPr/>
          <w:p>
            <w:pPr>
              <w:pStyle w:val="Compact"/>
            </w:pPr>
            <w:r>
              <w:t xml:space="preserve">-48.5%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1381.1x</w:t>
            </w:r>
          </w:p>
        </w:tc>
      </w:tr>
      <w:tr>
        <w:tc>
          <w:tcPr/>
          <w:p>
            <w:pPr>
              <w:pStyle w:val="Compact"/>
            </w:pPr>
            <w:r>
              <w:t xml:space="preserve">8Q</w:t>
            </w:r>
          </w:p>
        </w:tc>
        <w:tc>
          <w:tcPr/>
          <w:p>
            <w:pPr>
              <w:pStyle w:val="Compact"/>
            </w:pPr>
            <w:r>
              <w:t xml:space="preserve">95.3x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$42.29</w:t>
            </w:r>
          </w:p>
        </w:tc>
        <w:tc>
          <w:tcPr/>
          <w:p>
            <w:pPr>
              <w:pStyle w:val="Compact"/>
            </w:pPr>
            <w:r>
              <w:t xml:space="preserve">-85.3%</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$163.25</w:t>
            </w:r>
          </w:p>
        </w:tc>
        <w:tc>
          <w:tcPr/>
          <w:p>
            <w:pPr>
              <w:pStyle w:val="Compact"/>
            </w:pPr>
            <w:r>
              <w:t xml:space="preserve">-43.3%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$337.11</w:t>
            </w:r>
          </w:p>
        </w:tc>
        <w:tc>
          <w:tcPr/>
          <w:p>
            <w:pPr>
              <w:pStyle w:val="Compact"/>
            </w:pPr>
            <w:r>
              <w:t xml:space="preserve">17.0%</w:t>
            </w:r>
          </w:p>
        </w:tc>
      </w:tr>
    </w:tbl>
    <w:p>
      <w:pPr>
        <w:pStyle w:val="BodyText"/>
      </w:pPr>
      <w:r>
        <w:rPr>
          <w:rFonts w:hint="eastAsia"/>
        </w:rPr>
        <w:t xml:space="preserve">概率加权价值</w:t>
      </w:r>
      <w:r>
        <w:t xml:space="preserve"> </w:t>
      </w:r>
      <w:r>
        <w:rPr>
          <w:b/>
          <w:bCs/>
        </w:rPr>
        <w:t xml:space="preserve">$176.47</w:t>
      </w:r>
      <w:r>
        <w:rPr>
          <w:rFonts w:hint="eastAsia"/>
        </w:rPr>
        <w:t xml:space="preserve">（相对现价</w:t>
      </w:r>
      <w:r>
        <w:t xml:space="preserve"> </w:t>
      </w:r>
      <w:r>
        <w:rPr>
          <w:rFonts w:hint="eastAsia"/>
        </w:rPr>
        <w:t xml:space="preserve">-38.7%）。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33.7 bn </w:t>
      </w:r>
      <w:r>
        <w:rPr>
          <w:rFonts w:hint="eastAsia"/>
        </w:rPr>
        <w:t xml:space="preserve">USD；终值占比</w:t>
      </w:r>
      <w:r>
        <w:t xml:space="preserve"> 58.9%。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53.8%</w:t>
      </w:r>
      <w:r>
        <w:rPr>
          <w:rFonts w:hint="eastAsia"/>
        </w:rPr>
        <w:t xml:space="preserve">；一致预期FY+1增速</w:t>
      </w:r>
      <w:r>
        <w:t xml:space="preserve"> 38.8%。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56.7 bn USD | 8.2x | 20.5x | 33.7% | 37.5% | -1.8% |</w:t>
      </w:r>
      <w:r>
        <w:t xml:space="preserve"> </w:t>
      </w:r>
      <w:r>
        <w:t xml:space="preserve">| LITE | 90.2 bn USD | 29.3x | 28.0x | 109.3% | 44.2% | 0.2% |</w:t>
      </w:r>
      <w:r>
        <w:t xml:space="preserve"> </w:t>
      </w:r>
      <w:r>
        <w:t xml:space="preserve">| CIEN | 57.4 bn USD | 9.6x | 34.2x | 37.0% | 44.1% | 1.1% |</w:t>
      </w:r>
      <w:r>
        <w:t xml:space="preserve"> </w:t>
      </w:r>
      <w:r>
        <w:t xml:space="preserve">| FN | 16.4 bn USD | 3.3x | 20.9x | 44.6% | 12.0% | -0.4% |</w:t>
      </w:r>
      <w:r>
        <w:t xml:space="preserve"> </w:t>
      </w:r>
      <w:r>
        <w:t xml:space="preserve">| AAOI | 8.5 bn USD | 14.0x | 21.9x | 86.4% | 28.9% | -10.4%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288</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5.672e+10</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0.3884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0.3884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98c8ec1a7e3c92d04020ec99e0e59be9f012fe"/>
    <w:p>
      <w:pPr>
        <w:pStyle w:val="Heading1"/>
      </w:pPr>
      <w:r>
        <w:t xml:space="preserve">COHR Coherent Corp. — Equity Deep Dive (Professional English) v20261013-1622</w:t>
      </w:r>
    </w:p>
    <w:p>
      <w:pPr>
        <w:pStyle w:val="BlockText"/>
      </w:pPr>
      <w:r>
        <w:t xml:space="preserve">Data as of 2026-10-13 16:22 SGT | Price $288.02 | Mkt cap 56.7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$-50.69</w:t>
            </w:r>
          </w:p>
        </w:tc>
        <w:tc>
          <w:tcPr/>
          <w:p>
            <w:pPr>
              <w:pStyle w:val="Compact"/>
            </w:pPr>
            <w:r>
              <w:t xml:space="preserve">-117.6%</w:t>
            </w:r>
          </w:p>
        </w:tc>
      </w:tr>
      <w:tr>
        <w:tc>
          <w:tcPr/>
          <w:p>
            <w:pPr>
              <w:pStyle w:val="Compact"/>
            </w:pPr>
            <w:r>
              <w:t xml:space="preserve">2Q</w:t>
            </w:r>
          </w:p>
        </w:tc>
        <w:tc>
          <w:tcPr/>
          <w:p>
            <w:pPr>
              <w:pStyle w:val="Compact"/>
            </w:pPr>
            <w:r>
              <w:t xml:space="preserve">Base</w:t>
            </w:r>
          </w:p>
        </w:tc>
        <w:tc>
          <w:tcPr/>
          <w:p>
            <w:pPr>
              <w:pStyle w:val="Compact"/>
            </w:pPr>
            <w:r>
              <w:t xml:space="preserve">$-85.74</w:t>
            </w:r>
          </w:p>
        </w:tc>
        <w:tc>
          <w:tcPr/>
          <w:p>
            <w:pPr>
              <w:pStyle w:val="Compact"/>
            </w:pPr>
            <w:r>
              <w:t xml:space="preserve">-129.8%</w:t>
            </w:r>
          </w:p>
        </w:tc>
      </w:tr>
      <w:tr>
        <w:tc>
          <w:tcPr/>
          <w:p>
            <w:pPr>
              <w:pStyle w:val="Compact"/>
            </w:pPr>
            <w:r>
              <w:t xml:space="preserve">2Q</w:t>
            </w:r>
          </w:p>
        </w:tc>
        <w:tc>
          <w:tcPr/>
          <w:p>
            <w:pPr>
              <w:pStyle w:val="Compact"/>
            </w:pPr>
            <w:r>
              <w:t xml:space="preserve">Bull</w:t>
            </w:r>
          </w:p>
        </w:tc>
        <w:tc>
          <w:tcPr/>
          <w:p>
            <w:pPr>
              <w:pStyle w:val="Compact"/>
            </w:pPr>
            <w:r>
              <w:t xml:space="preserve">$-116.58</w:t>
            </w:r>
          </w:p>
        </w:tc>
        <w:tc>
          <w:tcPr/>
          <w:p>
            <w:pPr>
              <w:pStyle w:val="Compact"/>
            </w:pPr>
            <w:r>
              <w:t xml:space="preserve">-140.5%</w:t>
            </w:r>
          </w:p>
        </w:tc>
      </w:tr>
      <w:tr>
        <w:tc>
          <w:tcPr/>
          <w:p>
            <w:pPr>
              <w:pStyle w:val="Compact"/>
            </w:pPr>
            <w:r>
              <w:t xml:space="preserve">4Q</w:t>
            </w:r>
          </w:p>
        </w:tc>
        <w:tc>
          <w:tcPr/>
          <w:p>
            <w:pPr>
              <w:pStyle w:val="Compact"/>
            </w:pPr>
            <w:r>
              <w:t xml:space="preserve">Bear</w:t>
            </w:r>
          </w:p>
        </w:tc>
        <w:tc>
          <w:tcPr/>
          <w:p>
            <w:pPr>
              <w:pStyle w:val="Compact"/>
            </w:pPr>
            <w:r>
              <w:t xml:space="preserve">$-33.26</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$-48.35</w:t>
            </w:r>
          </w:p>
        </w:tc>
        <w:tc>
          <w:tcPr/>
          <w:p>
            <w:pPr>
              <w:pStyle w:val="Compact"/>
            </w:pPr>
            <w:r>
              <w:t xml:space="preserve">-116.8%</w:t>
            </w:r>
          </w:p>
        </w:tc>
      </w:tr>
      <w:tr>
        <w:tc>
          <w:tcPr/>
          <w:p>
            <w:pPr>
              <w:pStyle w:val="Compact"/>
            </w:pPr>
            <w:r>
              <w:t xml:space="preserve">4Q</w:t>
            </w:r>
          </w:p>
        </w:tc>
        <w:tc>
          <w:tcPr/>
          <w:p>
            <w:pPr>
              <w:pStyle w:val="Compact"/>
            </w:pPr>
            <w:r>
              <w:t xml:space="preserve">Bull</w:t>
            </w:r>
          </w:p>
        </w:tc>
        <w:tc>
          <w:tcPr/>
          <w:p>
            <w:pPr>
              <w:pStyle w:val="Compact"/>
            </w:pPr>
            <w:r>
              <w:t xml:space="preserve">$-52.46</w:t>
            </w:r>
          </w:p>
        </w:tc>
        <w:tc>
          <w:tcPr/>
          <w:p>
            <w:pPr>
              <w:pStyle w:val="Compact"/>
            </w:pPr>
            <w:r>
              <w:t xml:space="preserve">-118.2%</w:t>
            </w:r>
          </w:p>
        </w:tc>
      </w:tr>
      <w:tr>
        <w:tc>
          <w:tcPr/>
          <w:p>
            <w:pPr>
              <w:pStyle w:val="Compact"/>
            </w:pPr>
            <w:r>
              <w:t xml:space="preserve">6Q</w:t>
            </w:r>
          </w:p>
        </w:tc>
        <w:tc>
          <w:tcPr/>
          <w:p>
            <w:pPr>
              <w:pStyle w:val="Compact"/>
            </w:pPr>
            <w:r>
              <w:t xml:space="preserve">Bear</w:t>
            </w:r>
          </w:p>
        </w:tc>
        <w:tc>
          <w:tcPr/>
          <w:p>
            <w:pPr>
              <w:pStyle w:val="Compact"/>
            </w:pPr>
            <w:r>
              <w:t xml:space="preserve">$-15.08</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$34.08</w:t>
            </w:r>
          </w:p>
        </w:tc>
        <w:tc>
          <w:tcPr/>
          <w:p>
            <w:pPr>
              <w:pStyle w:val="Compact"/>
            </w:pPr>
            <w:r>
              <w:t xml:space="preserve">-88.2%</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-98.6%</w:t>
            </w:r>
          </w:p>
        </w:tc>
      </w:tr>
      <w:tr>
        <w:tc>
          <w:tcPr/>
          <w:p>
            <w:pPr>
              <w:pStyle w:val="Compact"/>
            </w:pPr>
            <w:r>
              <w:t xml:space="preserve">8Q</w:t>
            </w:r>
          </w:p>
        </w:tc>
        <w:tc>
          <w:tcPr/>
          <w:p>
            <w:pPr>
              <w:pStyle w:val="Compact"/>
            </w:pPr>
            <w:r>
              <w:t xml:space="preserve">Base</w:t>
            </w:r>
          </w:p>
        </w:tc>
        <w:tc>
          <w:tcPr/>
          <w:p>
            <w:pPr>
              <w:pStyle w:val="Compact"/>
            </w:pPr>
            <w:r>
              <w:t xml:space="preserve">$54.35</w:t>
            </w:r>
          </w:p>
        </w:tc>
        <w:tc>
          <w:tcPr/>
          <w:p>
            <w:pPr>
              <w:pStyle w:val="Compact"/>
            </w:pPr>
            <w:r>
              <w:t xml:space="preserve">-81.1%</w:t>
            </w:r>
          </w:p>
        </w:tc>
      </w:tr>
      <w:tr>
        <w:tc>
          <w:tcPr/>
          <w:p>
            <w:pPr>
              <w:pStyle w:val="Compact"/>
            </w:pPr>
            <w:r>
              <w:t xml:space="preserve">8Q</w:t>
            </w:r>
          </w:p>
        </w:tc>
        <w:tc>
          <w:tcPr/>
          <w:p>
            <w:pPr>
              <w:pStyle w:val="Compact"/>
            </w:pPr>
            <w:r>
              <w:t xml:space="preserve">Bull</w:t>
            </w:r>
          </w:p>
        </w:tc>
        <w:tc>
          <w:tcPr/>
          <w:p>
            <w:pPr>
              <w:pStyle w:val="Compact"/>
            </w:pPr>
            <w:r>
              <w:t xml:space="preserve">$148.46</w:t>
            </w:r>
          </w:p>
        </w:tc>
        <w:tc>
          <w:tcPr/>
          <w:p>
            <w:pPr>
              <w:pStyle w:val="Compact"/>
            </w:pPr>
            <w:r>
              <w:t xml:space="preserve">-48.5%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1381.1x</w:t>
            </w:r>
          </w:p>
        </w:tc>
      </w:tr>
      <w:tr>
        <w:tc>
          <w:tcPr/>
          <w:p>
            <w:pPr>
              <w:pStyle w:val="Compact"/>
            </w:pPr>
            <w:r>
              <w:t xml:space="preserve">8Q</w:t>
            </w:r>
          </w:p>
        </w:tc>
        <w:tc>
          <w:tcPr/>
          <w:p>
            <w:pPr>
              <w:pStyle w:val="Compact"/>
            </w:pPr>
            <w:r>
              <w:t xml:space="preserve">95.3x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$42.29</w:t>
            </w:r>
          </w:p>
        </w:tc>
        <w:tc>
          <w:tcPr/>
          <w:p>
            <w:pPr>
              <w:pStyle w:val="Compact"/>
            </w:pPr>
            <w:r>
              <w:t xml:space="preserve">-85.3%</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$163.25</w:t>
            </w:r>
          </w:p>
        </w:tc>
        <w:tc>
          <w:tcPr/>
          <w:p>
            <w:pPr>
              <w:pStyle w:val="Compact"/>
            </w:pPr>
            <w:r>
              <w:t xml:space="preserve">-43.3%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$337.11</w:t>
            </w:r>
          </w:p>
        </w:tc>
        <w:tc>
          <w:tcPr/>
          <w:p>
            <w:pPr>
              <w:pStyle w:val="Compact"/>
            </w:pPr>
            <w:r>
              <w:t xml:space="preserve">17.0%</w:t>
            </w:r>
          </w:p>
        </w:tc>
      </w:tr>
    </w:tbl>
    <w:p>
      <w:pPr>
        <w:pStyle w:val="BodyText"/>
      </w:pPr>
      <w:r>
        <w:t xml:space="preserve">Probability-weighted value</w:t>
      </w:r>
      <w:r>
        <w:t xml:space="preserve"> </w:t>
      </w:r>
      <w:r>
        <w:rPr>
          <w:b/>
          <w:bCs/>
        </w:rPr>
        <w:t xml:space="preserve">$176.47</w:t>
      </w:r>
      <w:r>
        <w:t xml:space="preserve"> </w:t>
      </w:r>
      <w:r>
        <w:t xml:space="preserve">(-38.7%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33.7 bn USD; terminal share 58.9%.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53.8%</w:t>
      </w:r>
      <w:r>
        <w:t xml:space="preserve"> </w:t>
      </w:r>
      <w:r>
        <w:t xml:space="preserve">vs consensus FY+1 38.8%.</w:t>
      </w:r>
    </w:p>
    <w:p>
      <w:pPr>
        <w:pStyle w:val="Compact"/>
        <w:numPr>
          <w:ilvl w:val="0"/>
          <w:numId w:val="1013"/>
        </w:numPr>
      </w:pPr>
      <w:r>
        <w:t xml:space="preserve">WACC (CAPM) = rf 5.2% + β 1.60 × ERP 5.0% = 13.2%.</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2026-10-13T08:24:33Z</dcterms:created>
  <dcterms:modified xsi:type="dcterms:W3CDTF">2026-10-13T08:24:33Z</dcterms:modified>
</cp:coreProperties>
</file>

<file path=docProps/custom.xml><?xml version="1.0" encoding="utf-8"?>
<Properties xmlns="http://schemas.openxmlformats.org/officeDocument/2006/custom-properties" xmlns:vt="http://schemas.openxmlformats.org/officeDocument/2006/docPropsVTypes"/>
</file>