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9" w:name="eme-初学者教学版-中文-v20261013-1812"/>
    <w:p>
      <w:pPr>
        <w:pStyle w:val="Heading1"/>
      </w:pPr>
      <w:r>
        <w:t xml:space="preserve">EME </w:t>
      </w:r>
      <w:r>
        <w:rPr>
          <w:rFonts w:hint="eastAsia"/>
        </w:rPr>
        <w:t xml:space="preserve">初学者教学版</w:t>
      </w:r>
      <w:r>
        <w:t xml:space="preserve"> </w:t>
      </w:r>
      <w:r>
        <w:rPr>
          <w:rFonts w:hint="eastAsia"/>
        </w:rPr>
        <w:t xml:space="preserve">(中文)</w:t>
      </w:r>
      <w:r>
        <w:t xml:space="preserve"> v20261013-1812</w:t>
      </w:r>
    </w:p>
    <w:bookmarkStart w:id="9" w:name="一句话"/>
    <w:p>
      <w:pPr>
        <w:pStyle w:val="Heading2"/>
      </w:pPr>
      <w:r>
        <w:t xml:space="preserve">① </w:t>
      </w:r>
      <w:r>
        <w:rPr>
          <w:rFonts w:hint="eastAsia"/>
        </w:rPr>
        <w:t xml:space="preserve">一句话</w:t>
      </w:r>
    </w:p>
    <w:p>
      <w:pPr>
        <w:pStyle w:val="FirstParagraph"/>
      </w:pPr>
      <w:r>
        <w:t xml:space="preserve">EMCOR Group, Inc. </w:t>
      </w:r>
      <w:r>
        <w:rPr>
          <w:rFonts w:hint="eastAsia"/>
        </w:rPr>
        <w:t xml:space="preserve">是一家</w:t>
      </w:r>
      <w:r>
        <w:t xml:space="preserve"> Electrical/mechanical contractor (DC build) </w:t>
      </w:r>
      <w:r>
        <w:rPr>
          <w:rFonts w:hint="eastAsia"/>
        </w:rPr>
        <w:t xml:space="preserve">机电工程(数据中心建设)</w:t>
      </w:r>
      <w:r>
        <w:t xml:space="preserve"> </w:t>
      </w:r>
      <w:r>
        <w:rPr>
          <w:rFonts w:hint="eastAsia"/>
        </w:rPr>
        <w:t xml:space="preserve">公司。现在股价</w:t>
      </w:r>
      <w:r>
        <w:t xml:space="preserve"> </w:t>
      </w:r>
      <w:r>
        <w:rPr>
          <w:rFonts w:hint="eastAsia"/>
        </w:rPr>
        <w:t xml:space="preserve">$779.16。我们的Base模型认为每股价值约</w:t>
      </w:r>
      <w:r>
        <w:t xml:space="preserve"> </w:t>
      </w:r>
      <w:r>
        <w:rPr>
          <w:rFonts w:hint="eastAsia"/>
        </w:rPr>
        <w:t xml:space="preserve">$450（-42.3%）。</w:t>
      </w:r>
    </w:p>
    <w:bookmarkEnd w:id="9"/>
    <w:bookmarkStart w:id="10" w:name="发生了什么"/>
    <w:p>
      <w:pPr>
        <w:pStyle w:val="Heading2"/>
      </w:pPr>
      <w:r>
        <w:t xml:space="preserve">② </w:t>
      </w:r>
      <w:r>
        <w:rPr>
          <w:rFonts w:hint="eastAsia"/>
        </w:rPr>
        <w:t xml:space="preserve">发生了什么</w:t>
      </w:r>
    </w:p>
    <w:p>
      <w:pPr>
        <w:pStyle w:val="FirstParagraph"/>
      </w:pPr>
      <w:r>
        <w:rPr>
          <w:rFonts w:hint="eastAsia"/>
        </w:rPr>
        <w:t xml:space="preserve">最近一季财报EPS实际</w:t>
      </w:r>
      <w:r>
        <w:t xml:space="preserve"> vs </w:t>
      </w:r>
      <w:r>
        <w:rPr>
          <w:rFonts w:hint="eastAsia"/>
        </w:rPr>
        <w:t xml:space="preserve">预期:</w:t>
      </w:r>
      <w:r>
        <w:t xml:space="preserve"> [</w:t>
      </w:r>
      <w:r>
        <w:t xml:space="preserve">‘2026-06-30’</w:t>
      </w:r>
      <w:r>
        <w:t xml:space="preserve">,</w:t>
      </w:r>
      <w:r>
        <w:t xml:space="preserve"> </w:t>
      </w:r>
      <w:r>
        <w:t xml:space="preserve">‘9.06’</w:t>
      </w:r>
      <w:r>
        <w:t xml:space="preserve">,</w:t>
      </w:r>
      <w:r>
        <w:t xml:space="preserve"> </w:t>
      </w:r>
      <w:r>
        <w:t xml:space="preserve">‘7.23108’</w:t>
      </w:r>
      <w:r>
        <w:t xml:space="preserve">,</w:t>
      </w:r>
      <w:r>
        <w:t xml:space="preserve"> </w:t>
      </w:r>
      <w:r>
        <w:t xml:space="preserve">‘0.2529’</w:t>
      </w:r>
      <w:r>
        <w:rPr>
          <w:rFonts w:hint="eastAsia"/>
        </w:rPr>
        <w:t xml:space="preserve">]（实际、预期、超预期%）。下次财报约</w:t>
      </w:r>
      <w:r>
        <w:t xml:space="preserve"> 2026-10-29。</w:t>
      </w:r>
    </w:p>
    <w:bookmarkEnd w:id="10"/>
    <w:bookmarkStart w:id="11" w:name="术语-glossary"/>
    <w:p>
      <w:pPr>
        <w:pStyle w:val="Heading2"/>
      </w:pPr>
      <w:r>
        <w:t xml:space="preserve">③ </w:t>
      </w:r>
      <w:r>
        <w:rPr>
          <w:rFonts w:hint="eastAsia"/>
        </w:rPr>
        <w:t xml:space="preserve">术语</w:t>
      </w:r>
      <w:r>
        <w:t xml:space="preserve"> Glossary</w:t>
      </w:r>
    </w:p>
    <w:p>
      <w:pPr>
        <w:pStyle w:val="Compact"/>
        <w:numPr>
          <w:ilvl w:val="0"/>
          <w:numId w:val="1001"/>
        </w:numPr>
      </w:pPr>
      <w:r>
        <w:t xml:space="preserve">DCF (Discounted Cash </w:t>
      </w:r>
      <w:r>
        <w:rPr>
          <w:rFonts w:hint="eastAsia"/>
        </w:rPr>
        <w:t xml:space="preserve">Flow｜现金流折现):</w:t>
      </w:r>
      <w:r>
        <w:t xml:space="preserve"> </w:t>
      </w:r>
      <w:r>
        <w:rPr>
          <w:rFonts w:hint="eastAsia"/>
        </w:rPr>
        <w:t xml:space="preserve">把未来每年能拿到的现金，按”时间成本”折回今天加总。</w:t>
      </w:r>
    </w:p>
    <w:p>
      <w:pPr>
        <w:pStyle w:val="Compact"/>
        <w:numPr>
          <w:ilvl w:val="0"/>
          <w:numId w:val="1001"/>
        </w:numPr>
      </w:pPr>
      <w:r>
        <w:t xml:space="preserve">FCF (Free Cash </w:t>
      </w:r>
      <w:r>
        <w:rPr>
          <w:rFonts w:hint="eastAsia"/>
        </w:rPr>
        <w:t xml:space="preserve">Flow｜自由现金流)</w:t>
      </w:r>
      <w:r>
        <w:t xml:space="preserve"> = </w:t>
      </w:r>
      <w:r>
        <w:rPr>
          <w:rFonts w:hint="eastAsia"/>
        </w:rPr>
        <w:t xml:space="preserve">经营现金流</w:t>
      </w:r>
      <w:r>
        <w:t xml:space="preserve"> − </w:t>
      </w:r>
      <w:r>
        <w:rPr>
          <w:rFonts w:hint="eastAsia"/>
        </w:rPr>
        <w:t xml:space="preserve">资本开支。</w:t>
      </w:r>
    </w:p>
    <w:p>
      <w:pPr>
        <w:pStyle w:val="Compact"/>
        <w:numPr>
          <w:ilvl w:val="0"/>
          <w:numId w:val="1001"/>
        </w:numPr>
      </w:pPr>
      <w:r>
        <w:t xml:space="preserve">WACC (Weighted Average Cost of </w:t>
      </w:r>
      <w:r>
        <w:rPr>
          <w:rFonts w:hint="eastAsia"/>
        </w:rPr>
        <w:t xml:space="preserve">Capital｜加权平均资本成本):</w:t>
      </w:r>
      <w:r>
        <w:t xml:space="preserve"> </w:t>
      </w:r>
      <w:r>
        <w:rPr>
          <w:rFonts w:hint="eastAsia"/>
        </w:rPr>
        <w:t xml:space="preserve">投资人要求的年回报率，用作折现率。</w:t>
      </w:r>
    </w:p>
    <w:p>
      <w:pPr>
        <w:pStyle w:val="Compact"/>
        <w:numPr>
          <w:ilvl w:val="0"/>
          <w:numId w:val="1001"/>
        </w:numPr>
      </w:pPr>
      <w:r>
        <w:t xml:space="preserve">Reverse DCF </w:t>
      </w:r>
      <w:r>
        <w:rPr>
          <w:rFonts w:hint="eastAsia"/>
        </w:rPr>
        <w:t xml:space="preserve">(反向DCF):</w:t>
      </w:r>
      <w:r>
        <w:t xml:space="preserve"> </w:t>
      </w:r>
      <w:r>
        <w:rPr>
          <w:rFonts w:hint="eastAsia"/>
        </w:rPr>
        <w:t xml:space="preserve">反过来问”现价要求公司增长多快”。</w:t>
      </w:r>
    </w:p>
    <w:p>
      <w:pPr>
        <w:pStyle w:val="Compact"/>
        <w:numPr>
          <w:ilvl w:val="0"/>
          <w:numId w:val="1001"/>
        </w:numPr>
      </w:pPr>
      <w:r>
        <w:t xml:space="preserve">Consensus </w:t>
      </w:r>
      <w:r>
        <w:rPr>
          <w:rFonts w:hint="eastAsia"/>
        </w:rPr>
        <w:t xml:space="preserve">(一致预期):</w:t>
      </w:r>
      <w:r>
        <w:t xml:space="preserve"> </w:t>
      </w:r>
      <w:r>
        <w:rPr>
          <w:rFonts w:hint="eastAsia"/>
        </w:rPr>
        <w:t xml:space="preserve">分析师预测的平均值。</w:t>
      </w:r>
    </w:p>
    <w:p>
      <w:pPr>
        <w:pStyle w:val="Compact"/>
        <w:numPr>
          <w:ilvl w:val="0"/>
          <w:numId w:val="1001"/>
        </w:numPr>
      </w:pPr>
      <w:r>
        <w:t xml:space="preserve">Falsifier </w:t>
      </w:r>
      <w:r>
        <w:rPr>
          <w:rFonts w:hint="eastAsia"/>
        </w:rPr>
        <w:t xml:space="preserve">(证伪指标):</w:t>
      </w:r>
      <w:r>
        <w:t xml:space="preserve"> </w:t>
      </w:r>
      <w:r>
        <w:rPr>
          <w:rFonts w:hint="eastAsia"/>
        </w:rPr>
        <w:t xml:space="preserve">一旦出现就说明论点错了的信号。</w:t>
      </w:r>
    </w:p>
    <w:bookmarkEnd w:id="11"/>
    <w:bookmarkStart w:id="12" w:name="生活比喻"/>
    <w:p>
      <w:pPr>
        <w:pStyle w:val="Heading2"/>
      </w:pPr>
      <w:r>
        <w:t xml:space="preserve">④ </w:t>
      </w:r>
      <w:r>
        <w:rPr>
          <w:rFonts w:hint="eastAsia"/>
        </w:rPr>
        <w:t xml:space="preserve">生活比喻</w:t>
      </w:r>
    </w:p>
    <w:p>
      <w:pPr>
        <w:pStyle w:val="FirstParagraph"/>
      </w:pPr>
      <w:r>
        <w:rPr>
          <w:rFonts w:hint="eastAsia"/>
        </w:rPr>
        <w:t xml:space="preserve">买这家公司股票≈买一棵果树。DCF就是估算果树未来每年结多少果(FCF)，再考虑”明年的一斤果不如今天的一斤果值钱”(WACC折现)。</w:t>
      </w:r>
    </w:p>
    <w:bookmarkEnd w:id="12"/>
    <w:bookmarkStart w:id="13" w:name="因果箭头"/>
    <w:p>
      <w:pPr>
        <w:pStyle w:val="Heading2"/>
      </w:pPr>
      <w:r>
        <w:t xml:space="preserve">⑤ </w:t>
      </w:r>
      <w:r>
        <w:rPr>
          <w:rFonts w:hint="eastAsia"/>
        </w:rPr>
        <w:t xml:space="preserve">因果箭头</w:t>
      </w:r>
    </w:p>
    <w:p>
      <w:pPr>
        <w:pStyle w:val="FirstParagraph"/>
      </w:pPr>
      <w:r>
        <w:t xml:space="preserve">Electrical/mechanical contractor (DC build) </w:t>
      </w:r>
      <w:r>
        <w:rPr>
          <w:rFonts w:hint="eastAsia"/>
        </w:rPr>
        <w:t xml:space="preserve">机电工程(数据中心建设)</w:t>
      </w:r>
      <w:r>
        <w:t xml:space="preserve"> </w:t>
      </w:r>
      <w:r>
        <w:rPr>
          <w:rFonts w:hint="eastAsia"/>
        </w:rPr>
        <w:t xml:space="preserve">需求</w:t>
      </w:r>
      <w:r>
        <w:t xml:space="preserve"> → </w:t>
      </w:r>
      <w:r>
        <w:rPr>
          <w:rFonts w:hint="eastAsia"/>
        </w:rPr>
        <w:t xml:space="preserve">收入增长</w:t>
      </w:r>
      <w:r>
        <w:t xml:space="preserve"> (g) → </w:t>
      </w:r>
      <w:r>
        <w:rPr>
          <w:rFonts w:hint="eastAsia"/>
        </w:rPr>
        <w:t xml:space="preserve">自由现金流</w:t>
      </w:r>
      <w:r>
        <w:t xml:space="preserve"> (FCF = </w:t>
      </w:r>
      <w:r>
        <w:rPr>
          <w:rFonts w:hint="eastAsia"/>
        </w:rPr>
        <w:t xml:space="preserve">收入</w:t>
      </w:r>
      <w:r>
        <w:t xml:space="preserve"> × </w:t>
      </w:r>
      <w:r>
        <w:rPr>
          <w:rFonts w:hint="eastAsia"/>
        </w:rPr>
        <w:t xml:space="preserve">FCF率)</w:t>
      </w:r>
      <w:r>
        <w:t xml:space="preserve"> → </w:t>
      </w:r>
      <w:r>
        <w:rPr>
          <w:rFonts w:hint="eastAsia"/>
        </w:rPr>
        <w:t xml:space="preserve">折现</w:t>
      </w:r>
      <w:r>
        <w:t xml:space="preserve"> (÷(1+WACC)^t) → </w:t>
      </w:r>
      <w:r>
        <w:rPr>
          <w:rFonts w:hint="eastAsia"/>
        </w:rPr>
        <w:t xml:space="preserve">每股价值</w:t>
      </w:r>
      <w:r>
        <w:t xml:space="preserve"> → </w:t>
      </w:r>
      <w:r>
        <w:rPr>
          <w:rFonts w:hint="eastAsia"/>
        </w:rPr>
        <w:t xml:space="preserve">与股价比较</w:t>
      </w:r>
      <w:r>
        <w:t xml:space="preserve"> → </w:t>
      </w:r>
      <w:r>
        <w:rPr>
          <w:rFonts w:hint="eastAsia"/>
        </w:rPr>
        <w:t xml:space="preserve">预期差</w:t>
      </w:r>
    </w:p>
    <w:bookmarkEnd w:id="13"/>
    <w:bookmarkStart w:id="14" w:name="数字例题符号定义"/>
    <w:p>
      <w:pPr>
        <w:pStyle w:val="Heading2"/>
      </w:pPr>
      <w:r>
        <w:t xml:space="preserve">⑥ </w:t>
      </w:r>
      <w:r>
        <w:rPr>
          <w:rFonts w:hint="eastAsia"/>
        </w:rPr>
        <w:t xml:space="preserve">数字例题（符号定义）</w:t>
      </w:r>
    </w:p>
    <w:p>
      <w:pPr>
        <w:pStyle w:val="FirstParagraph"/>
      </w:pPr>
      <w:r>
        <w:rPr>
          <w:rFonts w:hint="eastAsia"/>
        </w:rPr>
        <w:t xml:space="preserve">设</w:t>
      </w:r>
      <w:r>
        <w:t xml:space="preserve"> R₀ = </w:t>
      </w:r>
      <w:r>
        <w:rPr>
          <w:rFonts w:hint="eastAsia"/>
        </w:rPr>
        <w:t xml:space="preserve">过去12个月收入</w:t>
      </w:r>
      <w:r>
        <w:t xml:space="preserve"> = 18.6 bn </w:t>
      </w:r>
      <w:r>
        <w:rPr>
          <w:rFonts w:hint="eastAsia"/>
        </w:rPr>
        <w:t xml:space="preserve">USD；g₁</w:t>
      </w:r>
      <w:r>
        <w:t xml:space="preserve"> = </w:t>
      </w:r>
      <w:r>
        <w:rPr>
          <w:rFonts w:hint="eastAsia"/>
        </w:rPr>
        <w:t xml:space="preserve">第一年增速</w:t>
      </w:r>
      <w:r>
        <w:t xml:space="preserve"> = </w:t>
      </w:r>
      <w:r>
        <w:rPr>
          <w:rFonts w:hint="eastAsia"/>
        </w:rPr>
        <w:t xml:space="preserve">9.9%；m</w:t>
      </w:r>
      <w:r>
        <w:t xml:space="preserve"> = </w:t>
      </w:r>
      <w:r>
        <w:rPr>
          <w:rFonts w:hint="eastAsia"/>
        </w:rPr>
        <w:t xml:space="preserve">长期FCF率</w:t>
      </w:r>
      <w:r>
        <w:t xml:space="preserve"> = </w:t>
      </w:r>
      <w:r>
        <w:rPr>
          <w:rFonts w:hint="eastAsia"/>
        </w:rPr>
        <w:t xml:space="preserve">6.0%；W</w:t>
      </w:r>
      <w:r>
        <w:t xml:space="preserve"> = WACC = 10.8%。</w:t>
      </w:r>
      <w:r>
        <w:t xml:space="preserve"> </w:t>
      </w:r>
      <w:r>
        <w:rPr>
          <w:rFonts w:hint="eastAsia"/>
        </w:rPr>
        <w:t xml:space="preserve">第一年收入</w:t>
      </w:r>
      <w:r>
        <w:t xml:space="preserve"> R₁ = R₀ × (1+g₁) = 20.4 bn USD。</w:t>
      </w:r>
      <w:r>
        <w:t xml:space="preserve"> </w:t>
      </w:r>
      <w:r>
        <w:rPr>
          <w:rFonts w:hint="eastAsia"/>
        </w:rPr>
        <w:t xml:space="preserve">若第5年FCF率达到</w:t>
      </w:r>
      <w:r>
        <w:t xml:space="preserve"> </w:t>
      </w:r>
      <w:r>
        <w:rPr>
          <w:rFonts w:hint="eastAsia"/>
        </w:rPr>
        <w:t xml:space="preserve">m，则第1年FCF</w:t>
      </w:r>
      <w:r>
        <w:t xml:space="preserve"> ≈ R₁ × </w:t>
      </w:r>
      <w:r>
        <w:rPr>
          <w:rFonts w:hint="eastAsia"/>
        </w:rPr>
        <w:t xml:space="preserve">m₁（m₁</w:t>
      </w:r>
      <w:r>
        <w:t xml:space="preserve"> </w:t>
      </w:r>
      <w:r>
        <w:rPr>
          <w:rFonts w:hint="eastAsia"/>
        </w:rPr>
        <w:t xml:space="preserve">由当前</w:t>
      </w:r>
      <w:r>
        <w:t xml:space="preserve"> 6.3% </w:t>
      </w:r>
      <w:r>
        <w:rPr>
          <w:rFonts w:hint="eastAsia"/>
        </w:rPr>
        <w:t xml:space="preserve">向</w:t>
      </w:r>
      <w:r>
        <w:t xml:space="preserve"> 6.0% </w:t>
      </w:r>
      <w:r>
        <w:rPr>
          <w:rFonts w:hint="eastAsia"/>
        </w:rPr>
        <w:t xml:space="preserve">线性过渡）=</w:t>
      </w:r>
      <w:r>
        <w:t xml:space="preserve"> 1.3 bn </w:t>
      </w:r>
      <w:r>
        <w:rPr>
          <w:rFonts w:hint="eastAsia"/>
        </w:rPr>
        <w:t xml:space="preserve">USD；</w:t>
      </w:r>
      <w:r>
        <w:t xml:space="preserve"> </w:t>
      </w:r>
      <w:r>
        <w:rPr>
          <w:rFonts w:hint="eastAsia"/>
        </w:rPr>
        <w:t xml:space="preserve">折现到今天:</w:t>
      </w:r>
      <w:r>
        <w:t xml:space="preserve"> FCF₁ ÷ (1+W)¹ = 1.2 bn </w:t>
      </w:r>
      <w:r>
        <w:rPr>
          <w:rFonts w:hint="eastAsia"/>
        </w:rPr>
        <w:t xml:space="preserve">USD。十年加总</w:t>
      </w:r>
      <w:r>
        <w:t xml:space="preserve"> + </w:t>
      </w:r>
      <w:r>
        <w:rPr>
          <w:rFonts w:hint="eastAsia"/>
        </w:rPr>
        <w:t xml:space="preserve">终值</w:t>
      </w:r>
      <w:r>
        <w:t xml:space="preserve"> = EV 19.5 bn USD。</w:t>
      </w:r>
    </w:p>
    <w:bookmarkEnd w:id="14"/>
    <w:bookmarkStart w:id="15" w:name="事实-预测-市场预期"/>
    <w:p>
      <w:pPr>
        <w:pStyle w:val="Heading2"/>
      </w:pPr>
      <w:r>
        <w:t xml:space="preserve">⑦ </w:t>
      </w:r>
      <w:r>
        <w:rPr>
          <w:rFonts w:hint="eastAsia"/>
        </w:rPr>
        <w:t xml:space="preserve">事实</w:t>
      </w:r>
      <w:r>
        <w:t xml:space="preserve"> / </w:t>
      </w:r>
      <w:r>
        <w:rPr>
          <w:rFonts w:hint="eastAsia"/>
        </w:rPr>
        <w:t xml:space="preserve">预测</w:t>
      </w:r>
      <w:r>
        <w:t xml:space="preserve"> / </w:t>
      </w:r>
      <w:r>
        <w:rPr>
          <w:rFonts w:hint="eastAsia"/>
        </w:rPr>
        <w:t xml:space="preserve">市场预期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事实:</w:t>
      </w:r>
      <w:r>
        <w:t xml:space="preserve"> </w:t>
      </w:r>
      <w:r>
        <w:rPr>
          <w:rFonts w:hint="eastAsia"/>
        </w:rPr>
        <w:t xml:space="preserve">过去财务数据(第4节)、现价。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预测(我们的假设):</w:t>
      </w:r>
      <w:r>
        <w:t xml:space="preserve"> </w:t>
      </w:r>
      <w:r>
        <w:rPr>
          <w:rFonts w:hint="eastAsia"/>
        </w:rPr>
        <w:t xml:space="preserve">长期FCF率</w:t>
      </w:r>
      <w:r>
        <w:t xml:space="preserve"> </w:t>
      </w:r>
      <w:r>
        <w:rPr>
          <w:rFonts w:hint="eastAsia"/>
        </w:rPr>
        <w:t xml:space="preserve">6.0%、三情景。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市场预期:</w:t>
      </w:r>
      <w:r>
        <w:t xml:space="preserve"> </w:t>
      </w:r>
      <w:r>
        <w:rPr>
          <w:rFonts w:hint="eastAsia"/>
        </w:rPr>
        <w:t xml:space="preserve">一致预期增速</w:t>
      </w:r>
      <w:r>
        <w:t xml:space="preserve"> </w:t>
      </w:r>
      <w:r>
        <w:rPr>
          <w:rFonts w:hint="eastAsia"/>
        </w:rPr>
        <w:t xml:space="preserve">9.9%；价格隐含增速</w:t>
      </w:r>
      <w:r>
        <w:t xml:space="preserve"> 24.4%。</w:t>
      </w:r>
    </w:p>
    <w:bookmarkEnd w:id="15"/>
    <w:bookmarkStart w:id="16" w:name="三情景"/>
    <w:p>
      <w:pPr>
        <w:pStyle w:val="Heading2"/>
      </w:pPr>
      <w:r>
        <w:t xml:space="preserve">⑧ </w:t>
      </w:r>
      <w:r>
        <w:rPr>
          <w:rFonts w:hint="eastAsia"/>
        </w:rPr>
        <w:t xml:space="preserve">三情景</w:t>
      </w:r>
    </w:p>
    <w:p>
      <w:pPr>
        <w:pStyle w:val="FirstParagraph"/>
      </w:pPr>
      <w:r>
        <w:t xml:space="preserve">Bear $265 / Base $450 / Bull </w:t>
      </w:r>
      <w:r>
        <w:rPr>
          <w:rFonts w:hint="eastAsia"/>
        </w:rPr>
        <w:t xml:space="preserve">$648；概率加权</w:t>
      </w:r>
      <w:r>
        <w:t xml:space="preserve"> $453。</w:t>
      </w:r>
    </w:p>
    <w:bookmarkEnd w:id="16"/>
    <w:bookmarkStart w:id="17" w:name="反方观点与失效条件"/>
    <w:p>
      <w:pPr>
        <w:pStyle w:val="Heading2"/>
      </w:pPr>
      <w:r>
        <w:t xml:space="preserve">⑨ </w:t>
      </w:r>
      <w:r>
        <w:rPr>
          <w:rFonts w:hint="eastAsia"/>
        </w:rPr>
        <w:t xml:space="preserve">反方观点与失效条件</w:t>
      </w:r>
    </w:p>
    <w:p>
      <w:pPr>
        <w:pStyle w:val="FirstParagraph"/>
      </w:pPr>
      <w:r>
        <w:rPr>
          <w:rFonts w:hint="eastAsia"/>
        </w:rPr>
        <w:t xml:space="preserve">反方:</w:t>
      </w:r>
      <w:r>
        <w:t xml:space="preserve"> DC project timing pushouts; labor cost </w:t>
      </w:r>
      <w:r>
        <w:rPr>
          <w:rFonts w:hint="eastAsia"/>
        </w:rPr>
        <w:t xml:space="preserve">inflation｜数据中心项目延后；人工成本</w:t>
      </w:r>
      <w:r>
        <w:t xml:space="preserve"> </w:t>
      </w:r>
      <w:r>
        <w:rPr>
          <w:rFonts w:hint="eastAsia"/>
        </w:rPr>
        <w:t xml:space="preserve">失效条件:</w:t>
      </w:r>
      <w:r>
        <w:t xml:space="preserve"> RPO declines; op margin </w:t>
      </w:r>
      <w:r>
        <w:rPr>
          <w:rFonts w:hint="eastAsia"/>
        </w:rPr>
        <w:t xml:space="preserve">&lt;8%｜RPO下降；营业利润率&lt;8%</w:t>
      </w:r>
    </w:p>
    <w:bookmarkEnd w:id="17"/>
    <w:bookmarkStart w:id="18" w:name="自我检验题"/>
    <w:p>
      <w:pPr>
        <w:pStyle w:val="Heading2"/>
      </w:pPr>
      <w:r>
        <w:rPr>
          <w:rFonts w:hint="eastAsia"/>
        </w:rPr>
        <w:t xml:space="preserve">自我检验题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如果WACC上升1个百分点，价值会升还是降？为什么？（提示：分母变大）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反向DCF隐含增速高于一致预期意味着什么？</w:t>
      </w:r>
    </w:p>
    <w:p>
      <w:r>
        <w:pict>
          <v:rect style="width:0;height:1.5pt" o:hralign="center" o:hrstd="t" o:hr="t"/>
        </w:pict>
      </w:r>
    </w:p>
    <w:bookmarkEnd w:id="18"/>
    <w:bookmarkEnd w:id="19"/>
    <w:bookmarkStart w:id="24" w:name="Xda3f1f85db77e9b79592d31ccd65945255585a2"/>
    <w:p>
      <w:pPr>
        <w:pStyle w:val="Heading1"/>
      </w:pPr>
      <w:r>
        <w:t xml:space="preserve">EME Beginner Teaching Edition (English) v20261013-1812</w:t>
      </w:r>
    </w:p>
    <w:bookmarkStart w:id="23" w:name="in-one-line"/>
    <w:p>
      <w:pPr>
        <w:pStyle w:val="Heading2"/>
      </w:pPr>
      <w:r>
        <w:t xml:space="preserve">① In one line</w:t>
      </w:r>
    </w:p>
    <w:p>
      <w:pPr>
        <w:pStyle w:val="FirstParagraph"/>
      </w:pPr>
      <w:r>
        <w:t xml:space="preserve">EMCOR Group, Inc. is a Electrical/mechanical contractor (DC build) </w:t>
      </w:r>
      <w:r>
        <w:rPr>
          <w:rFonts w:hint="eastAsia"/>
        </w:rPr>
        <w:t xml:space="preserve">机电工程(数据中心建设)</w:t>
      </w:r>
      <w:r>
        <w:t xml:space="preserve"> company. Price $779.16; our Base model value ≈ $450 (-42.3%).</w:t>
      </w:r>
      <w:r>
        <w:t xml:space="preserve"> </w:t>
      </w:r>
      <w:r>
        <w:t xml:space="preserve">## ② What happened</w:t>
      </w:r>
      <w:r>
        <w:t xml:space="preserve"> </w:t>
      </w:r>
      <w:r>
        <w:t xml:space="preserve">Last quarter EPS actual vs consensus: [</w:t>
      </w:r>
      <w:r>
        <w:t xml:space="preserve">‘2026-06-30’</w:t>
      </w:r>
      <w:r>
        <w:t xml:space="preserve">,</w:t>
      </w:r>
      <w:r>
        <w:t xml:space="preserve"> </w:t>
      </w:r>
      <w:r>
        <w:t xml:space="preserve">‘9.06’</w:t>
      </w:r>
      <w:r>
        <w:t xml:space="preserve">,</w:t>
      </w:r>
      <w:r>
        <w:t xml:space="preserve"> </w:t>
      </w:r>
      <w:r>
        <w:t xml:space="preserve">‘7.23108’</w:t>
      </w:r>
      <w:r>
        <w:t xml:space="preserve">,</w:t>
      </w:r>
      <w:r>
        <w:t xml:space="preserve"> </w:t>
      </w:r>
      <w:r>
        <w:t xml:space="preserve">‘0.2529’</w:t>
      </w:r>
      <w:r>
        <w:t xml:space="preserve">]. Next earnings ≈ 2026-10-29 (TENTATIVE).</w:t>
      </w:r>
      <w:r>
        <w:t xml:space="preserve"> </w:t>
      </w:r>
      <w:r>
        <w:t xml:space="preserve">## ③ Glossary</w:t>
      </w:r>
      <w:r>
        <w:t xml:space="preserve"> </w:t>
      </w:r>
      <w:r>
        <w:t xml:space="preserve">DCF (Discounted Cash </w:t>
      </w:r>
      <w:r>
        <w:rPr>
          <w:rFonts w:hint="eastAsia"/>
        </w:rPr>
        <w:t xml:space="preserve">Flow｜现金流折现);</w:t>
      </w:r>
      <w:r>
        <w:t xml:space="preserve"> FCF (Free Cash </w:t>
      </w:r>
      <w:r>
        <w:rPr>
          <w:rFonts w:hint="eastAsia"/>
        </w:rPr>
        <w:t xml:space="preserve">Flow｜自由现金流)</w:t>
      </w:r>
      <w:r>
        <w:t xml:space="preserve"> = operating cash flow − capex; WACC (Weighted Average Cost of </w:t>
      </w:r>
      <w:r>
        <w:rPr>
          <w:rFonts w:hint="eastAsia"/>
        </w:rPr>
        <w:t xml:space="preserve">Capital｜加权平均资本成本)</w:t>
      </w:r>
      <w:r>
        <w:t xml:space="preserve"> = the yearly return investors demand; Reverse DCF </w:t>
      </w:r>
      <w:r>
        <w:rPr>
          <w:rFonts w:hint="eastAsia"/>
        </w:rPr>
        <w:t xml:space="preserve">(反向DCF)</w:t>
      </w:r>
      <w:r>
        <w:t xml:space="preserve"> = what growth the price requires; Consensus </w:t>
      </w:r>
      <w:r>
        <w:rPr>
          <w:rFonts w:hint="eastAsia"/>
        </w:rPr>
        <w:t xml:space="preserve">(一致预期);</w:t>
      </w:r>
      <w:r>
        <w:t xml:space="preserve"> Falsifier </w:t>
      </w:r>
      <w:r>
        <w:rPr>
          <w:rFonts w:hint="eastAsia"/>
        </w:rPr>
        <w:t xml:space="preserve">(证伪指标).</w:t>
      </w:r>
      <w:r>
        <w:t xml:space="preserve"> </w:t>
      </w:r>
      <w:r>
        <w:t xml:space="preserve">## ④ Analogy</w:t>
      </w:r>
      <w:r>
        <w:t xml:space="preserve"> </w:t>
      </w:r>
      <w:r>
        <w:t xml:space="preserve">Owning the stock ≈ owning a fruit tree: DCF estimates future fruit (FCF) and discounts it because fruit next year is worth less than fruit today.</w:t>
      </w:r>
      <w:r>
        <w:t xml:space="preserve"> </w:t>
      </w:r>
      <w:r>
        <w:t xml:space="preserve">## ⑤ Causal arrows</w:t>
      </w:r>
      <w:r>
        <w:t xml:space="preserve"> </w:t>
      </w:r>
      <w:r>
        <w:t xml:space="preserve">Demand → revenue growth (g) → FCF (= revenue × FCF margin) → discounting ÷(1+WACC)^t → value/share → compare with price → expectation gap</w:t>
      </w:r>
      <w:r>
        <w:t xml:space="preserve"> </w:t>
      </w:r>
      <w:r>
        <w:t xml:space="preserve">## ⑥ Worked example (symbols)</w:t>
      </w:r>
      <w:r>
        <w:t xml:space="preserve"> </w:t>
      </w:r>
      <w:r>
        <w:t xml:space="preserve">R₀ = TTM revenue = 18.6 bn USD; g₁ = 9.9%; m = long-run FCF margin = 6.0%; W = 10.8%.</w:t>
      </w:r>
      <w:r>
        <w:t xml:space="preserve"> </w:t>
      </w:r>
      <w:r>
        <w:t xml:space="preserve">R₁ = R₀×(1+g₁) = 20.4 bn USD; FCF₁ = 1.3 bn USD; PV = FCF₁/(1+W) = 1.2 bn USD; 10 years + terminal → EV 19.5 bn USD.</w:t>
      </w:r>
      <w:r>
        <w:t xml:space="preserve"> </w:t>
      </w:r>
      <w:r>
        <w:t xml:space="preserve">## ⑦ Fact vs forecast vs market expectation</w:t>
      </w:r>
      <w:r>
        <w:t xml:space="preserve"> </w:t>
      </w:r>
      <w:r>
        <w:t xml:space="preserve">Facts: reported financials, price. Forecast: our margin/scenario assumptions. Market: consensus growth 9.9%; price-implied growth 24.4%.</w:t>
      </w:r>
      <w:r>
        <w:t xml:space="preserve"> </w:t>
      </w:r>
      <w:r>
        <w:t xml:space="preserve">## ⑧ Three scenarios</w:t>
      </w:r>
      <w:r>
        <w:t xml:space="preserve"> </w:t>
      </w:r>
      <w:r>
        <w:t xml:space="preserve">Bear $265 / Base $450 / Bull $648; weighted $453.</w:t>
      </w:r>
      <w:r>
        <w:t xml:space="preserve"> </w:t>
      </w:r>
      <w:r>
        <w:t xml:space="preserve">## ⑨ Counterview &amp; failure conditions</w:t>
      </w:r>
      <w:r>
        <w:t xml:space="preserve"> </w:t>
      </w:r>
      <w:r>
        <w:t xml:space="preserve">DC project timing pushouts; labor cost </w:t>
      </w:r>
      <w:r>
        <w:rPr>
          <w:rFonts w:hint="eastAsia"/>
        </w:rPr>
        <w:t xml:space="preserve">inflation｜数据中心项目延后；人工成本</w:t>
      </w:r>
      <w:r>
        <w:t xml:space="preserve"> — Falsifiers: RPO declines; op margin </w:t>
      </w:r>
      <w:r>
        <w:rPr>
          <w:rFonts w:hint="eastAsia"/>
        </w:rPr>
        <w:t xml:space="preserve">&lt;8%｜RPO下降；营业利润率&lt;8%</w:t>
      </w:r>
      <w:r>
        <w:t xml:space="preserve"> </w:t>
      </w:r>
      <w:r>
        <w:t xml:space="preserve">## Self-check</w:t>
      </w:r>
      <w:r>
        <w:t xml:space="preserve"> </w:t>
      </w:r>
      <w:r>
        <w:t xml:space="preserve">1. WACC +1pp → value up or down? 2. What does price-implied growth &gt; consensus mean?</w:t>
      </w:r>
    </w:p>
    <w:p>
      <w:pPr>
        <w:pStyle w:val="CaptionedFigure"/>
      </w:pPr>
      <w:r>
        <w:drawing>
          <wp:inline>
            <wp:extent cx="5334000" cy="3000374"/>
            <wp:effectExtent b="0" l="0" r="0" t="0"/>
            <wp:docPr descr="logic" title="" id="21" name="Picture"/>
            <a:graphic>
              <a:graphicData uri="http://schemas.openxmlformats.org/drawingml/2006/picture">
                <pic:pic>
                  <pic:nvPicPr>
                    <pic:cNvPr descr="images/EME_5_logic_map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logic</w:t>
      </w:r>
    </w:p>
    <w:bookmarkEnd w:id="23"/>
    <w:bookmarkEnd w:id="2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0" Target="media/rId20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2026-10-13T10:14:20Z</dcterms:created>
  <dcterms:modified xsi:type="dcterms:W3CDTF">2026-10-13T10:14:20Z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