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ntc-初学者教学版-中文-v20261013-1812"/>
    <w:p>
      <w:pPr>
        <w:pStyle w:val="Heading1"/>
      </w:pPr>
      <w:r>
        <w:t xml:space="preserve">INTC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Intel Corporation </w:t>
      </w:r>
      <w:r>
        <w:rPr>
          <w:rFonts w:hint="eastAsia"/>
        </w:rPr>
        <w:t xml:space="preserve">是一家</w:t>
      </w:r>
      <w:r>
        <w:t xml:space="preserve"> 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$101.35。我们的Base模型认为每股价值约</w:t>
      </w:r>
      <w:r>
        <w:t xml:space="preserve"> </w:t>
      </w:r>
      <w:r>
        <w:rPr>
          <w:rFonts w:hint="eastAsia"/>
        </w:rPr>
        <w:t xml:space="preserve">$12（-88.1%）。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rPr>
          <w:rFonts w:hint="eastAsia"/>
        </w:rPr>
        <w:t xml:space="preserve">]（实际、预期、超预期%）。下次财报约</w:t>
      </w:r>
      <w:r>
        <w:t xml:space="preserve"> 2026-10-30。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x86 CPU + foundry turnaround </w:t>
      </w:r>
      <w:r>
        <w:rPr>
          <w:rFonts w:hint="eastAsia"/>
        </w:rPr>
        <w:t xml:space="preserve">x86+代工转型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57.0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14.9%；m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65.5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5.0% </w:t>
      </w:r>
      <w:r>
        <w:rPr>
          <w:rFonts w:hint="eastAsia"/>
        </w:rPr>
        <w:t xml:space="preserve">向</w:t>
      </w:r>
      <w:r>
        <w:t xml:space="preserve"> 10.0% </w:t>
      </w:r>
      <w:r>
        <w:rPr>
          <w:rFonts w:hint="eastAsia"/>
        </w:rPr>
        <w:t xml:space="preserve">线性过渡）=</w:t>
      </w:r>
      <w:r>
        <w:t xml:space="preserve"> 3.9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3.5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84.4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14.9%；价格隐含增速</w:t>
      </w:r>
      <w:r>
        <w:t xml:space="preserve"> 68.9%。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$5 / Base $12 / Bull </w:t>
      </w:r>
      <w:r>
        <w:rPr>
          <w:rFonts w:hint="eastAsia"/>
        </w:rPr>
        <w:t xml:space="preserve">$20；概率加权</w:t>
      </w:r>
      <w:r>
        <w:t xml:space="preserve"> $12。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1c63ec03610fa3e2b41da29f0a3aa729b7345cd"/>
    <w:p>
      <w:pPr>
        <w:pStyle w:val="Heading1"/>
      </w:pPr>
      <w:r>
        <w:t xml:space="preserve">INTC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Intel Corporation is a x86 CPU + foundry turnaround </w:t>
      </w:r>
      <w:r>
        <w:rPr>
          <w:rFonts w:hint="eastAsia"/>
        </w:rPr>
        <w:t xml:space="preserve">x86+代工转型</w:t>
      </w:r>
      <w:r>
        <w:t xml:space="preserve"> company. Price $101.35; our Base model value ≈ $12 (-88.1%).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‘0.42’</w:t>
      </w:r>
      <w:r>
        <w:t xml:space="preserve">,</w:t>
      </w:r>
      <w:r>
        <w:t xml:space="preserve"> </w:t>
      </w:r>
      <w:r>
        <w:t xml:space="preserve">‘0.21584’</w:t>
      </w:r>
      <w:r>
        <w:t xml:space="preserve">,</w:t>
      </w:r>
      <w:r>
        <w:t xml:space="preserve"> </w:t>
      </w:r>
      <w:r>
        <w:t xml:space="preserve">‘0.94589996’</w:t>
      </w:r>
      <w:r>
        <w:t xml:space="preserve">]. Next earnings ≈ 2026-10-30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57.0 bn USD; g₁ = 14.9%; m = long-run FCF margin = 10.0%; W = 13.2%.</w:t>
      </w:r>
      <w:r>
        <w:t xml:space="preserve"> </w:t>
      </w:r>
      <w:r>
        <w:t xml:space="preserve">R₁ = R₀×(1+g₁) = 65.5 bn USD; FCF₁ = 3.9 bn USD; PV = FCF₁/(1+W) = 3.5 bn USD; 10 years + terminal → EV 84.4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14.9%; price-implied growth 68.9%.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$5 / Base $12 / Bull $20; weighted $12.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Foundry losses persist; share loss to AMD/ARM; </w:t>
      </w:r>
      <w:r>
        <w:rPr>
          <w:rFonts w:hint="eastAsia"/>
        </w:rPr>
        <w:t xml:space="preserve">dilution｜代工持续亏损；份额流失；股权稀释</w:t>
      </w:r>
      <w:r>
        <w:t xml:space="preserve"> — Falsifiers: No major external 14A commitment; foundry operating loss not narrowing; GM </w:t>
      </w:r>
      <w:r>
        <w:rPr>
          <w:rFonts w:hint="eastAsia"/>
        </w:rPr>
        <w:t xml:space="preserve">&lt;40%｜无14A外部承诺；代工亏损不收窄；毛利率&lt;40%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INTC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2026-10-13T10:13:40Z</dcterms:created>
  <dcterms:modified xsi:type="dcterms:W3CDTF">2026-10-13T10:13:40Z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