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3-1622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$190.12。我们的Base模型认为每股价值约</w:t>
      </w:r>
      <w:r>
        <w:t xml:space="preserve"> </w:t>
      </w:r>
      <w:r>
        <w:rPr>
          <w:rFonts w:hint="eastAsia"/>
        </w:rPr>
        <w:t xml:space="preserve">$61（-67.9%）。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80.8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50.8%。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$30 / Base $61 / Bull </w:t>
      </w:r>
      <w:r>
        <w:rPr>
          <w:rFonts w:hint="eastAsia"/>
        </w:rPr>
        <w:t xml:space="preserve">$96；概率加权</w:t>
      </w:r>
      <w:r>
        <w:t xml:space="preserve"> $62。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a40046c7ba0cfcc93c2a1ba86d0d77b3ea9f55"/>
    <w:p>
      <w:pPr>
        <w:pStyle w:val="Heading1"/>
      </w:pPr>
      <w:r>
        <w:t xml:space="preserve">KLAC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$190.12; our Base model value ≈ $61 (-67.9%).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12.5%.</w:t>
      </w:r>
      <w:r>
        <w:t xml:space="preserve"> </w:t>
      </w:r>
      <w:r>
        <w:t xml:space="preserve">R₁ = R₀×(1+g₁) = 16.1 bn USD; FCF₁ = 4.6 bn USD; PV = FCF₁/(1+W) = 4.0 bn USD; 10 years + terminal → EV 80.8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50.8%.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$30 / Base $61 / Bull $96; weighted $62.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2026-10-13T08:24:37Z</dcterms:created>
  <dcterms:modified xsi:type="dcterms:W3CDTF">2026-10-13T08:24:37Z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