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a215cf304ac33457125f895a986b2f7a948a829"/>
    <w:p>
      <w:pPr>
        <w:pStyle w:val="Heading1"/>
      </w:pPr>
      <w:r>
        <w:t xml:space="preserve">NVDA NVIDIA Corporation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$226.32｜市值</w:t>
      </w:r>
      <w:r>
        <w:t xml:space="preserve"> 5,464.9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NVDA是AI资本开支的首要受益者，系统级(GPU+NVLink+网络+CUDA)护城河使其维持高毛利；核心争议在于云厂Capex持续性与ASIC替代速度。</w:t>
      </w:r>
    </w:p>
    <w:p>
      <w:pPr>
        <w:pStyle w:val="Compact"/>
        <w:numPr>
          <w:ilvl w:val="0"/>
          <w:numId w:val="1001"/>
        </w:numPr>
      </w:pPr>
      <w:r>
        <w:rPr>
          <w:rFonts w:hint="eastAsia"/>
          <w:b/>
          <w:bCs/>
        </w:rPr>
        <w:t xml:space="preserve">多头驱动</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1"/>
        </w:numPr>
      </w:pPr>
      <w:r>
        <w:rPr>
          <w:rFonts w:hint="eastAsia"/>
          <w:b/>
          <w:bCs/>
        </w:rPr>
        <w:t xml:space="preserve">空头驱动</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1"/>
        </w:numPr>
      </w:pPr>
      <w:r>
        <w:rPr>
          <w:rFonts w:hint="eastAsia"/>
          <w:b/>
          <w:bCs/>
        </w:rPr>
        <w:t xml:space="preserve">证伪条件</w:t>
      </w:r>
      <w:r>
        <w:rPr>
          <w:b/>
          <w:bCs/>
        </w:rPr>
        <w:t xml:space="preserve"> 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compute GPU </w:t>
      </w:r>
      <w:r>
        <w:rPr>
          <w:rFonts w:hint="eastAsia"/>
        </w:rPr>
        <w:t xml:space="preserve">AI算力</w:t>
      </w:r>
    </w:p>
    <w:p>
      <w:pPr>
        <w:pStyle w:val="Compact"/>
        <w:numPr>
          <w:ilvl w:val="0"/>
          <w:numId w:val="1002"/>
        </w:numPr>
      </w:pPr>
      <w:r>
        <w:rPr>
          <w:rFonts w:hint="eastAsia"/>
        </w:rPr>
        <w:t xml:space="preserve">业务分部</w:t>
      </w:r>
      <w:r>
        <w:t xml:space="preserve"> Segments: Data Center compute </w:t>
      </w:r>
      <w:r>
        <w:rPr>
          <w:rFonts w:hint="eastAsia"/>
        </w:rPr>
        <w:t xml:space="preserve">数据中心计算；Data</w:t>
      </w:r>
      <w:r>
        <w:t xml:space="preserve"> Center networking </w:t>
      </w:r>
      <w:r>
        <w:rPr>
          <w:rFonts w:hint="eastAsia"/>
        </w:rPr>
        <w:t xml:space="preserve">网络；Gaming</w:t>
      </w:r>
      <w:r>
        <w:t xml:space="preserve"> </w:t>
      </w:r>
      <w:r>
        <w:rPr>
          <w:rFonts w:hint="eastAsia"/>
        </w:rPr>
        <w:t xml:space="preserve">游戏；ProViz/Auto/Other</w:t>
      </w:r>
      <w:r>
        <w:t xml:space="preserve"> </w:t>
      </w:r>
      <w:r>
        <w:rPr>
          <w:rFonts w:hint="eastAsia"/>
        </w:rPr>
        <w:t xml:space="preserve">专业可视化/汽车</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02"/>
        </w:numPr>
      </w:pPr>
      <w:r>
        <w:rPr>
          <w:rFonts w:hint="eastAsia"/>
        </w:rPr>
        <w:t xml:space="preserve">主要客户:</w:t>
      </w:r>
      <w:r>
        <w:t xml:space="preserve"> Hyperscalers (MSFT, META, GOOGL, AMZN, ORCL), neoclouds (CRWV), sovereigns, </w:t>
      </w:r>
      <w:r>
        <w:rPr>
          <w:rFonts w:hint="eastAsia"/>
        </w:rPr>
        <w:t xml:space="preserve">enterprises｜超大规模云厂、新云、主权AI、企业</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(N4/N3, CoWoS), SK hynix/Micron/Samsung (HBM), ODMs (Foxconn, Quanta, Wistron), </w:t>
      </w:r>
      <w:r>
        <w:rPr>
          <w:rFonts w:hint="eastAsia"/>
        </w:rPr>
        <w:t xml:space="preserve">ABF/PCB｜台积电(制程+CoWoS)、HBM三巨头、ODM、ABF/PCB</w:t>
      </w:r>
    </w:p>
    <w:p>
      <w:pPr>
        <w:pStyle w:val="Compact"/>
        <w:numPr>
          <w:ilvl w:val="0"/>
          <w:numId w:val="1003"/>
        </w:numPr>
      </w:pPr>
      <w:r>
        <w:rPr>
          <w:rFonts w:hint="eastAsia"/>
        </w:rPr>
        <w:t xml:space="preserve">竞争者</w:t>
      </w:r>
      <w:r>
        <w:t xml:space="preserve"> </w:t>
      </w:r>
      <w:r>
        <w:rPr>
          <w:rFonts w:hint="eastAsia"/>
        </w:rPr>
        <w:t xml:space="preserve">(含业外):</w:t>
      </w:r>
      <w:r>
        <w:t xml:space="preserve"> AMD Instinct, custom ASICs (Broadcom/Marvell/Google TPU/Trainium), Intel, Chinese domestic </w:t>
      </w:r>
      <w:r>
        <w:rPr>
          <w:rFonts w:hint="eastAsia"/>
        </w:rPr>
        <w:t xml:space="preserve">GPUs｜AMD、定制ASIC(TPU/Trainium等)、英特尔、中国国产GPU</w:t>
      </w:r>
    </w:p>
    <w:p>
      <w:pPr>
        <w:pStyle w:val="Compact"/>
        <w:numPr>
          <w:ilvl w:val="0"/>
          <w:numId w:val="1003"/>
        </w:numPr>
      </w:pPr>
      <w:r>
        <w:rPr>
          <w:rFonts w:hint="eastAsia"/>
        </w:rPr>
        <w:t xml:space="preserve">瓶颈/监管:</w:t>
      </w:r>
      <w:r>
        <w:t xml:space="preserve"> CoWoS capacity, HBM supply, data-center power, export controls </w:t>
      </w:r>
      <w:r>
        <w:rPr>
          <w:rFonts w:hint="eastAsia"/>
        </w:rPr>
        <w:t xml:space="preserve">(China)｜CoWoS产能、HBM供应、数据中心电力、出口管制</w:t>
      </w:r>
    </w:p>
    <w:p>
      <w:pPr>
        <w:pStyle w:val="Compact"/>
        <w:numPr>
          <w:ilvl w:val="0"/>
          <w:numId w:val="1003"/>
        </w:numPr>
      </w:pPr>
      <w:r>
        <w:rPr>
          <w:rFonts w:hint="eastAsia"/>
        </w:rPr>
        <w:t xml:space="preserve">关键KPI:</w:t>
      </w:r>
      <w:r>
        <w:t xml:space="preserve"> DC revenue, GM%, networking revenue, hyperscaler capex, CoWoS </w:t>
      </w:r>
      <w:r>
        <w:rPr>
          <w:rFonts w:hint="eastAsia"/>
        </w:rPr>
        <w:t xml:space="preserve">allocation｜数据中心收入、毛利率、网络收入、云厂Capex、CoWoS分配</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rPr>
          <w:rFonts w:hint="eastAsia"/>
        </w:rPr>
        <w:t xml:space="preserve">资产负债:</w:t>
      </w:r>
      <w:r>
        <w:t xml:space="preserve"> </w:t>
      </w:r>
      <w:r>
        <w:rPr>
          <w:rFonts w:hint="eastAsia"/>
        </w:rPr>
        <w:t xml:space="preserve">现金</w:t>
      </w:r>
      <w:r>
        <w:t xml:space="preserve"> 62.5 bn </w:t>
      </w:r>
      <w:r>
        <w:rPr>
          <w:rFonts w:hint="eastAsia"/>
        </w:rPr>
        <w:t xml:space="preserve">USD；总负债</w:t>
      </w:r>
      <w:r>
        <w:t xml:space="preserve"> 38.9 bn </w:t>
      </w:r>
      <w:r>
        <w:rPr>
          <w:rFonts w:hint="eastAsia"/>
        </w:rPr>
        <w:t xml:space="preserve">USD；净现金</w:t>
      </w:r>
      <w:r>
        <w:t xml:space="preserve"> 23.6 bn USD。TTM FCF 127.0 bn </w:t>
      </w:r>
      <w:r>
        <w:rPr>
          <w:rFonts w:hint="eastAsia"/>
        </w:rPr>
        <w:t xml:space="preserve">USD（FCF率</w:t>
      </w:r>
      <w:r>
        <w:t xml:space="preserve"> </w:t>
      </w:r>
      <w:r>
        <w:rPr>
          <w:rFonts w:hint="eastAsia"/>
        </w:rPr>
        <w:t xml:space="preserve">41.9%）。</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2026-11-18</w:t>
      </w:r>
      <w:r>
        <w:rPr>
          <w:rFonts w:hint="eastAsia"/>
        </w:rPr>
        <w:t xml:space="preserve">；本季EPS一致预期</w:t>
      </w:r>
      <w:r>
        <w:t xml:space="preserve"> </w:t>
      </w:r>
      <w:r>
        <w:rPr>
          <w:rFonts w:hint="eastAsia"/>
        </w:rPr>
        <w:t xml:space="preserve">2.47325（44位分析师）；收入一致预期</w:t>
      </w:r>
      <w:r>
        <w:t xml:space="preserve"> 109.0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$110.66</w:t>
            </w:r>
          </w:p>
        </w:tc>
        <w:tc>
          <w:tcPr/>
          <w:p>
            <w:pPr>
              <w:pStyle w:val="Compact"/>
            </w:pPr>
            <w:r>
              <w:t xml:space="preserve">-51.1%</w:t>
            </w:r>
          </w:p>
        </w:tc>
      </w:tr>
      <w:tr>
        <w:tc>
          <w:tcPr/>
          <w:p>
            <w:pPr>
              <w:pStyle w:val="Compact"/>
            </w:pPr>
            <w:r>
              <w:t xml:space="preserve">2Q</w:t>
            </w:r>
          </w:p>
        </w:tc>
        <w:tc>
          <w:tcPr/>
          <w:p>
            <w:pPr>
              <w:pStyle w:val="Compact"/>
            </w:pPr>
            <w:r>
              <w:t xml:space="preserve">Base</w:t>
            </w:r>
          </w:p>
        </w:tc>
        <w:tc>
          <w:tcPr/>
          <w:p>
            <w:pPr>
              <w:pStyle w:val="Compact"/>
            </w:pPr>
            <w:r>
              <w:t xml:space="preserve">$276.31</w:t>
            </w:r>
          </w:p>
        </w:tc>
        <w:tc>
          <w:tcPr/>
          <w:p>
            <w:pPr>
              <w:pStyle w:val="Compact"/>
            </w:pPr>
            <w:r>
              <w:t xml:space="preserve">22.1%</w:t>
            </w:r>
          </w:p>
        </w:tc>
      </w:tr>
      <w:tr>
        <w:tc>
          <w:tcPr/>
          <w:p>
            <w:pPr>
              <w:pStyle w:val="Compact"/>
            </w:pPr>
            <w:r>
              <w:t xml:space="preserve">2Q</w:t>
            </w:r>
          </w:p>
        </w:tc>
        <w:tc>
          <w:tcPr/>
          <w:p>
            <w:pPr>
              <w:pStyle w:val="Compact"/>
            </w:pPr>
            <w:r>
              <w:t xml:space="preserve">Bull</w:t>
            </w:r>
          </w:p>
        </w:tc>
        <w:tc>
          <w:tcPr/>
          <w:p>
            <w:pPr>
              <w:pStyle w:val="Compact"/>
            </w:pPr>
            <w:r>
              <w:t xml:space="preserve">$481.59</w:t>
            </w:r>
          </w:p>
        </w:tc>
        <w:tc>
          <w:tcPr/>
          <w:p>
            <w:pPr>
              <w:pStyle w:val="Compact"/>
            </w:pPr>
            <w:r>
              <w:t xml:space="preserve">112.8%</w:t>
            </w:r>
          </w:p>
        </w:tc>
      </w:tr>
      <w:tr>
        <w:tc>
          <w:tcPr/>
          <w:p>
            <w:pPr>
              <w:pStyle w:val="Compact"/>
            </w:pPr>
            <w:r>
              <w:t xml:space="preserve">4Q</w:t>
            </w:r>
          </w:p>
        </w:tc>
        <w:tc>
          <w:tcPr/>
          <w:p>
            <w:pPr>
              <w:pStyle w:val="Compact"/>
            </w:pPr>
            <w:r>
              <w:t xml:space="preserve">Bear</w:t>
            </w:r>
          </w:p>
        </w:tc>
        <w:tc>
          <w:tcPr/>
          <w:p>
            <w:pPr>
              <w:pStyle w:val="Compact"/>
            </w:pPr>
            <w:r>
              <w:t xml:space="preserve">$118.01</w:t>
            </w:r>
          </w:p>
        </w:tc>
        <w:tc>
          <w:tcPr/>
          <w:p>
            <w:pPr>
              <w:pStyle w:val="Compact"/>
            </w:pPr>
            <w:r>
              <w:t xml:space="preserve">-47.9%</w:t>
            </w:r>
          </w:p>
        </w:tc>
      </w:tr>
      <w:tr>
        <w:tc>
          <w:tcPr/>
          <w:p>
            <w:pPr>
              <w:pStyle w:val="Compact"/>
            </w:pPr>
            <w:r>
              <w:t xml:space="preserve">4Q</w:t>
            </w:r>
          </w:p>
        </w:tc>
        <w:tc>
          <w:tcPr/>
          <w:p>
            <w:pPr>
              <w:pStyle w:val="Compact"/>
            </w:pPr>
            <w:r>
              <w:t xml:space="preserve">Base</w:t>
            </w:r>
          </w:p>
        </w:tc>
        <w:tc>
          <w:tcPr/>
          <w:p>
            <w:pPr>
              <w:pStyle w:val="Compact"/>
            </w:pPr>
            <w:r>
              <w:t xml:space="preserve">$338.89</w:t>
            </w:r>
          </w:p>
        </w:tc>
        <w:tc>
          <w:tcPr/>
          <w:p>
            <w:pPr>
              <w:pStyle w:val="Compact"/>
            </w:pPr>
            <w:r>
              <w:t xml:space="preserve">49.7%</w:t>
            </w:r>
          </w:p>
        </w:tc>
      </w:tr>
      <w:tr>
        <w:tc>
          <w:tcPr/>
          <w:p>
            <w:pPr>
              <w:pStyle w:val="Compact"/>
            </w:pPr>
            <w:r>
              <w:t xml:space="preserve">4Q</w:t>
            </w:r>
          </w:p>
        </w:tc>
        <w:tc>
          <w:tcPr/>
          <w:p>
            <w:pPr>
              <w:pStyle w:val="Compact"/>
            </w:pPr>
            <w:r>
              <w:t xml:space="preserve">Bull</w:t>
            </w:r>
          </w:p>
        </w:tc>
        <w:tc>
          <w:tcPr/>
          <w:p>
            <w:pPr>
              <w:pStyle w:val="Compact"/>
            </w:pPr>
            <w:r>
              <w:t xml:space="preserve">$636.23</w:t>
            </w:r>
          </w:p>
        </w:tc>
        <w:tc>
          <w:tcPr/>
          <w:p>
            <w:pPr>
              <w:pStyle w:val="Compact"/>
            </w:pPr>
            <w:r>
              <w:t xml:space="preserve">181.1%</w:t>
            </w:r>
          </w:p>
        </w:tc>
      </w:tr>
      <w:tr>
        <w:tc>
          <w:tcPr/>
          <w:p>
            <w:pPr>
              <w:pStyle w:val="Compact"/>
            </w:pPr>
            <w:r>
              <w:t xml:space="preserve">6Q</w:t>
            </w:r>
          </w:p>
        </w:tc>
        <w:tc>
          <w:tcPr/>
          <w:p>
            <w:pPr>
              <w:pStyle w:val="Compact"/>
            </w:pPr>
            <w:r>
              <w:t xml:space="preserve">Bear</w:t>
            </w:r>
          </w:p>
        </w:tc>
        <w:tc>
          <w:tcPr/>
          <w:p>
            <w:pPr>
              <w:pStyle w:val="Compact"/>
            </w:pPr>
            <w:r>
              <w:t xml:space="preserve">$125.83</w:t>
            </w:r>
          </w:p>
        </w:tc>
        <w:tc>
          <w:tcPr/>
          <w:p>
            <w:pPr>
              <w:pStyle w:val="Compact"/>
            </w:pPr>
            <w:r>
              <w:t xml:space="preserve">-44.4%</w:t>
            </w:r>
          </w:p>
        </w:tc>
      </w:tr>
      <w:tr>
        <w:tc>
          <w:tcPr/>
          <w:p>
            <w:pPr>
              <w:pStyle w:val="Compact"/>
            </w:pPr>
            <w:r>
              <w:t xml:space="preserve">6Q</w:t>
            </w:r>
          </w:p>
        </w:tc>
        <w:tc>
          <w:tcPr/>
          <w:p>
            <w:pPr>
              <w:pStyle w:val="Compact"/>
            </w:pPr>
            <w:r>
              <w:t xml:space="preserve">Base</w:t>
            </w:r>
          </w:p>
        </w:tc>
        <w:tc>
          <w:tcPr/>
          <w:p>
            <w:pPr>
              <w:pStyle w:val="Compact"/>
            </w:pPr>
            <w:r>
              <w:t xml:space="preserve">$415.69</w:t>
            </w:r>
          </w:p>
        </w:tc>
        <w:tc>
          <w:tcPr/>
          <w:p>
            <w:pPr>
              <w:pStyle w:val="Compact"/>
            </w:pPr>
            <w:r>
              <w:t xml:space="preserve">83.7%</w:t>
            </w:r>
          </w:p>
        </w:tc>
      </w:tr>
      <w:tr>
        <w:tc>
          <w:tcPr/>
          <w:p>
            <w:pPr>
              <w:pStyle w:val="Compact"/>
            </w:pPr>
            <w:r>
              <w:t xml:space="preserve">6Q</w:t>
            </w:r>
          </w:p>
        </w:tc>
        <w:tc>
          <w:tcPr/>
          <w:p>
            <w:pPr>
              <w:pStyle w:val="Compact"/>
            </w:pPr>
            <w:r>
              <w:t xml:space="preserve">Bull</w:t>
            </w:r>
          </w:p>
        </w:tc>
        <w:tc>
          <w:tcPr/>
          <w:p>
            <w:pPr>
              <w:pStyle w:val="Compact"/>
            </w:pPr>
            <w:r>
              <w:t xml:space="preserve">$840.28</w:t>
            </w:r>
          </w:p>
        </w:tc>
        <w:tc>
          <w:tcPr/>
          <w:p>
            <w:pPr>
              <w:pStyle w:val="Compact"/>
            </w:pPr>
            <w:r>
              <w:t xml:space="preserve">271.3%</w:t>
            </w:r>
          </w:p>
        </w:tc>
      </w:tr>
      <w:tr>
        <w:tc>
          <w:tcPr/>
          <w:p>
            <w:pPr>
              <w:pStyle w:val="Compact"/>
            </w:pPr>
            <w:r>
              <w:t xml:space="preserve">8Q</w:t>
            </w:r>
          </w:p>
        </w:tc>
        <w:tc>
          <w:tcPr/>
          <w:p>
            <w:pPr>
              <w:pStyle w:val="Compact"/>
            </w:pPr>
            <w:r>
              <w:t xml:space="preserve">Bear</w:t>
            </w:r>
          </w:p>
        </w:tc>
        <w:tc>
          <w:tcPr/>
          <w:p>
            <w:pPr>
              <w:pStyle w:val="Compact"/>
            </w:pPr>
            <w:r>
              <w:t xml:space="preserve">$134.15</w:t>
            </w:r>
          </w:p>
        </w:tc>
        <w:tc>
          <w:tcPr/>
          <w:p>
            <w:pPr>
              <w:pStyle w:val="Compact"/>
            </w:pPr>
            <w:r>
              <w:t xml:space="preserve">-40.7%</w:t>
            </w:r>
          </w:p>
        </w:tc>
      </w:tr>
      <w:tr>
        <w:tc>
          <w:tcPr/>
          <w:p>
            <w:pPr>
              <w:pStyle w:val="Compact"/>
            </w:pPr>
            <w:r>
              <w:t xml:space="preserve">8Q</w:t>
            </w:r>
          </w:p>
        </w:tc>
        <w:tc>
          <w:tcPr/>
          <w:p>
            <w:pPr>
              <w:pStyle w:val="Compact"/>
            </w:pPr>
            <w:r>
              <w:t xml:space="preserve">Base</w:t>
            </w:r>
          </w:p>
        </w:tc>
        <w:tc>
          <w:tcPr/>
          <w:p>
            <w:pPr>
              <w:pStyle w:val="Compact"/>
            </w:pPr>
            <w:r>
              <w:t xml:space="preserve">$509.95</w:t>
            </w:r>
          </w:p>
        </w:tc>
        <w:tc>
          <w:tcPr/>
          <w:p>
            <w:pPr>
              <w:pStyle w:val="Compact"/>
            </w:pPr>
            <w:r>
              <w:t xml:space="preserve">125.3%</w:t>
            </w:r>
          </w:p>
        </w:tc>
      </w:tr>
      <w:tr>
        <w:tc>
          <w:tcPr/>
          <w:p>
            <w:pPr>
              <w:pStyle w:val="Compact"/>
            </w:pPr>
            <w:r>
              <w:t xml:space="preserve">8Q</w:t>
            </w:r>
          </w:p>
        </w:tc>
        <w:tc>
          <w:tcPr/>
          <w:p>
            <w:pPr>
              <w:pStyle w:val="Compact"/>
            </w:pPr>
            <w:r>
              <w:t xml:space="preserve">Bull</w:t>
            </w:r>
          </w:p>
        </w:tc>
        <w:tc>
          <w:tcPr/>
          <w:p>
            <w:pPr>
              <w:pStyle w:val="Compact"/>
            </w:pPr>
            <w:r>
              <w:t xml:space="preserve">$1,109.40</w:t>
            </w:r>
          </w:p>
        </w:tc>
        <w:tc>
          <w:tcPr/>
          <w:p>
            <w:pPr>
              <w:pStyle w:val="Compact"/>
            </w:pPr>
            <w:r>
              <w:t xml:space="preserve">390.2%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19.2x</w:t>
            </w:r>
          </w:p>
        </w:tc>
      </w:tr>
      <w:tr>
        <w:tc>
          <w:tcPr/>
          <w:p>
            <w:pPr>
              <w:pStyle w:val="Compact"/>
            </w:pPr>
            <w:r>
              <w:t xml:space="preserve">4Q</w:t>
            </w:r>
          </w:p>
        </w:tc>
        <w:tc>
          <w:tcPr/>
          <w:p>
            <w:pPr>
              <w:pStyle w:val="Compact"/>
            </w:pPr>
            <w:r>
              <w:t xml:space="preserve">14.7x</w:t>
            </w:r>
          </w:p>
        </w:tc>
      </w:tr>
      <w:tr>
        <w:tc>
          <w:tcPr/>
          <w:p>
            <w:pPr>
              <w:pStyle w:val="Compact"/>
            </w:pPr>
            <w:r>
              <w:t xml:space="preserve">6Q</w:t>
            </w:r>
          </w:p>
        </w:tc>
        <w:tc>
          <w:tcPr/>
          <w:p>
            <w:pPr>
              <w:pStyle w:val="Compact"/>
            </w:pPr>
            <w:r>
              <w:t xml:space="preserve">11.3x</w:t>
            </w:r>
          </w:p>
        </w:tc>
      </w:tr>
      <w:tr>
        <w:tc>
          <w:tcPr/>
          <w:p>
            <w:pPr>
              <w:pStyle w:val="Compact"/>
            </w:pPr>
            <w:r>
              <w:t xml:space="preserve">8Q</w:t>
            </w:r>
          </w:p>
        </w:tc>
        <w:tc>
          <w:tcPr/>
          <w:p>
            <w:pPr>
              <w:pStyle w:val="Compact"/>
            </w:pPr>
            <w:r>
              <w:t xml:space="preserve">8.6x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$126.10</w:t>
            </w:r>
          </w:p>
        </w:tc>
        <w:tc>
          <w:tcPr/>
          <w:p>
            <w:pPr>
              <w:pStyle w:val="Compact"/>
            </w:pPr>
            <w:r>
              <w:t xml:space="preserve">-44.3%</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$549.25</w:t>
            </w:r>
          </w:p>
        </w:tc>
        <w:tc>
          <w:tcPr/>
          <w:p>
            <w:pPr>
              <w:pStyle w:val="Compact"/>
            </w:pPr>
            <w:r>
              <w:t xml:space="preserve">142.7%</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$1,311.89</w:t>
            </w:r>
          </w:p>
        </w:tc>
        <w:tc>
          <w:tcPr/>
          <w:p>
            <w:pPr>
              <w:pStyle w:val="Compact"/>
            </w:pPr>
            <w:r>
              <w:t xml:space="preserve">479.7%</w:t>
            </w:r>
          </w:p>
        </w:tc>
      </w:tr>
    </w:tbl>
    <w:p>
      <w:pPr>
        <w:pStyle w:val="BodyText"/>
      </w:pPr>
      <w:r>
        <w:rPr>
          <w:rFonts w:hint="eastAsia"/>
        </w:rPr>
        <w:t xml:space="preserve">概率加权价值</w:t>
      </w:r>
      <w:r>
        <w:t xml:space="preserve"> </w:t>
      </w:r>
      <w:r>
        <w:rPr>
          <w:b/>
          <w:bCs/>
        </w:rPr>
        <w:t xml:space="preserve">$634.12</w:t>
      </w:r>
      <w:r>
        <w:rPr>
          <w:rFonts w:hint="eastAsia"/>
        </w:rPr>
        <w:t xml:space="preserve">（相对现价</w:t>
      </w:r>
      <w:r>
        <w:t xml:space="preserve"> </w:t>
      </w:r>
      <w:r>
        <w:rPr>
          <w:rFonts w:hint="eastAsia"/>
        </w:rPr>
        <w:t xml:space="preserve">180.2%）。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13,239.1 bn </w:t>
      </w:r>
      <w:r>
        <w:rPr>
          <w:rFonts w:hint="eastAsia"/>
        </w:rPr>
        <w:t xml:space="preserve">USD；终值占比</w:t>
      </w:r>
      <w:r>
        <w:t xml:space="preserve"> 55.8%。</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41.0%</w:t>
      </w:r>
      <w:r>
        <w:rPr>
          <w:rFonts w:hint="eastAsia"/>
        </w:rPr>
        <w:t xml:space="preserve">；一致预期FY+1增速</w:t>
      </w:r>
      <w:r>
        <w:t xml:space="preserve"> 68.2%。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NVDA | 5,464.9 bn USD | 17.9x | 14.2x | 105.9% | 74.7% | 2.3% |</w:t>
      </w:r>
      <w:r>
        <w:t xml:space="preserve"> </w:t>
      </w:r>
      <w:r>
        <w:t xml:space="preserve">| AMD | 970.1 bn USD | 23.3x | 37.8x | 50.1% | 55.7% | 0.9% |</w:t>
      </w:r>
      <w:r>
        <w:t xml:space="preserve"> </w:t>
      </w:r>
      <w:r>
        <w:t xml:space="preserve">| AVGO | 1,693.3 bn USD | 19.4x | 18.3x | 85.5% | 75.5% | 1.8% |</w:t>
      </w:r>
      <w:r>
        <w:t xml:space="preserve"> </w:t>
      </w:r>
      <w:r>
        <w:t xml:space="preserve">| MRVL | 238.9 bn USD | 24.8x | 36.5x | 36.5% | 52.2% | 1.0% |</w:t>
      </w:r>
      <w:r>
        <w:t xml:space="preserve"> </w:t>
      </w:r>
      <w:r>
        <w:t xml:space="preserve">| INTC | 535.7 bn USD | 9.6x | 48.5x | 25.4% | 38.9%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Capex digestion in 2027, ASIC share gains, gross-margin pressure from HBM </w:t>
      </w:r>
      <w:r>
        <w:rPr>
          <w:rFonts w:hint="eastAsia"/>
        </w:rPr>
        <w:t xml:space="preserve">costs｜2027年Capex消化、ASIC份额提升、HBM成本压毛利</w:t>
      </w:r>
    </w:p>
    <w:p>
      <w:pPr>
        <w:pStyle w:val="Compact"/>
        <w:numPr>
          <w:ilvl w:val="0"/>
          <w:numId w:val="1006"/>
        </w:numPr>
      </w:pPr>
      <w:r>
        <w:rPr>
          <w:rFonts w:hint="eastAsia"/>
        </w:rPr>
        <w:t xml:space="preserve">证伪指标:</w:t>
      </w:r>
      <w:r>
        <w:t xml:space="preserve"> Top-4 hyperscaler capex guides down; DC revenue q/q growth &lt;5% two quarters; GM below </w:t>
      </w:r>
      <w:r>
        <w:rPr>
          <w:rFonts w:hint="eastAsia"/>
        </w:rPr>
        <w:t xml:space="preserve">mid-60s%｜四大云Capex下修；DC收入环比连续两季&lt;5%；毛利率跌破60%中段</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226.3</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5.465e+12</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6.247e+10</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3.886e+10</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3.03e+11</w:t>
            </w:r>
          </w:p>
        </w:tc>
        <w:tc>
          <w:tcPr/>
          <w:p>
            <w:pPr>
              <w:pStyle w:val="Compact"/>
            </w:pPr>
            <w:r>
              <w:t xml:space="preserve">Yahoo info.totalRevenue (TTM, USD) 2026-10-13T18:12</w:t>
            </w:r>
          </w:p>
        </w:tc>
      </w:tr>
      <w:tr>
        <w:tc>
          <w:tcPr/>
          <w:p>
            <w:pPr>
              <w:pStyle w:val="Compact"/>
            </w:pPr>
            <w:r>
              <w:t xml:space="preserve">FCF TTM </w:t>
            </w:r>
            <w:r>
              <w:rPr>
                <w:rFonts w:hint="eastAsia"/>
              </w:rPr>
              <w:t xml:space="preserve">自由现金流</w:t>
            </w:r>
          </w:p>
        </w:tc>
        <w:tc>
          <w:tcPr/>
          <w:p>
            <w:pPr>
              <w:pStyle w:val="Compact"/>
            </w:pPr>
            <w:r>
              <w:t xml:space="preserve">1.27e+11</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2.216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0.9064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0.6815</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0.6815</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0.4192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NVDA_model_v20261013-1812.xlsx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2026-11-18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NVDA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NVDA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NVDA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NVDA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NVDA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90dcd86a3dc927432a29ab1a7c19375b1cd76a1"/>
    <w:p>
      <w:pPr>
        <w:pStyle w:val="Heading1"/>
      </w:pPr>
      <w:r>
        <w:t xml:space="preserve">NVDA NVIDIA Corporation — Equity Deep Dive (Professional English) v20261013-1812</w:t>
      </w:r>
    </w:p>
    <w:p>
      <w:pPr>
        <w:pStyle w:val="BlockText"/>
      </w:pPr>
      <w:r>
        <w:t xml:space="preserve">Data as of 2026-10-13 18:12 SGT | Price $226.32 | Mkt cap 5,464.9 bn USD | Reporting currency USD | Not investment advice.</w:t>
      </w:r>
    </w:p>
    <w:bookmarkStart w:id="39" w:name="investment-thesis-hypothesis"/>
    <w:p>
      <w:pPr>
        <w:pStyle w:val="Heading2"/>
      </w:pPr>
      <w:r>
        <w:t xml:space="preserve">1. Investment thesis (HYPOTHESIS)</w:t>
      </w:r>
    </w:p>
    <w:p>
      <w:pPr>
        <w:pStyle w:val="FirstParagraph"/>
      </w:pPr>
      <w:r>
        <w:t xml:space="preserve">NVDA is the primary beneficiary of AI capex; its system-level moat (GPU+NVLink+networking+CUDA) sustains high margins. The core debate is hyperscaler capex durability and the pace of ASIC substitution.</w:t>
      </w:r>
    </w:p>
    <w:p>
      <w:pPr>
        <w:pStyle w:val="Compact"/>
        <w:numPr>
          <w:ilvl w:val="0"/>
          <w:numId w:val="1009"/>
        </w:numPr>
      </w:pPr>
      <w:r>
        <w:rPr>
          <w:b/>
          <w:bCs/>
        </w:rPr>
        <w:t xml:space="preserve">Bull drivers</w:t>
      </w:r>
      <w:r>
        <w:t xml:space="preserve">: Rubin cycle on time, inference demand broadens to enterprise/sovereign, networking attach </w:t>
      </w:r>
      <w:r>
        <w:rPr>
          <w:rFonts w:hint="eastAsia"/>
        </w:rPr>
        <w:t xml:space="preserve">rises｜Rubin按期、推理需求扩散、网络附加率提升</w:t>
      </w:r>
    </w:p>
    <w:p>
      <w:pPr>
        <w:pStyle w:val="Compact"/>
        <w:numPr>
          <w:ilvl w:val="0"/>
          <w:numId w:val="1009"/>
        </w:numPr>
      </w:pPr>
      <w:r>
        <w:rPr>
          <w:b/>
          <w:bCs/>
        </w:rPr>
        <w:t xml:space="preserve">Bear drivers</w:t>
      </w:r>
      <w:r>
        <w:t xml:space="preserve">: Capex digestion in 2027, ASIC share gains, gross-margin pressure from HBM </w:t>
      </w:r>
      <w:r>
        <w:rPr>
          <w:rFonts w:hint="eastAsia"/>
        </w:rPr>
        <w:t xml:space="preserve">costs｜2027年Capex消化、ASIC份额提升、HBM成本压毛利</w:t>
      </w:r>
    </w:p>
    <w:p>
      <w:pPr>
        <w:pStyle w:val="Compact"/>
        <w:numPr>
          <w:ilvl w:val="0"/>
          <w:numId w:val="1009"/>
        </w:numPr>
      </w:pPr>
      <w:r>
        <w:rPr>
          <w:b/>
          <w:bCs/>
        </w:rPr>
        <w:t xml:space="preserve">Falsifiers</w:t>
      </w:r>
      <w:r>
        <w:t xml:space="preserve">: Top-4 hyperscaler capex guides down; DC revenue q/q growth &lt;5% two quarters; GM below </w:t>
      </w:r>
      <w:r>
        <w:rPr>
          <w:rFonts w:hint="eastAsia"/>
        </w:rPr>
        <w:t xml:space="preserve">mid-60s%｜四大云Capex下修；DC收入环比连续两季&lt;5%；毛利率跌破60%中段</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compute GPU </w:t>
      </w:r>
      <w:r>
        <w:rPr>
          <w:rFonts w:hint="eastAsia"/>
        </w:rPr>
        <w:t xml:space="preserve">AI算力</w:t>
      </w:r>
      <w:r>
        <w:t xml:space="preserve"> |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p>
    <w:p>
      <w:pPr>
        <w:pStyle w:val="Compact"/>
        <w:numPr>
          <w:ilvl w:val="0"/>
          <w:numId w:val="1010"/>
        </w:numPr>
      </w:pPr>
      <w:r>
        <w:t xml:space="preserve">Business description (DATA): NVIDIA Corporation operates as a data center scale AI infrastructure company in the United States, Taiwan, China, Hong Kong, Europe, and internationally. It operates through Compute &amp; Networking, and Graphics segments. The Compute &amp; Networking segment provides data center accelerated computing and networking platforms and artificial intelligence solutions and software, and automotive platforms and autonomous and electric vehicle solutions, including software. The Graphics segment offers GeForce GPUs for gaming and PCs; Quadro/NVIDIA RTX GPUs for enterprise workstation graphics. The company’s products are used in gaming, professional visualization, data center, and automotive markets. It sells its products to original equipment manufacturers, original device manufacturers, system integrators and distributors, independent software vendors, cloud service providers, add-in board manufacturer</w:t>
      </w:r>
    </w:p>
    <w:p>
      <w:pPr>
        <w:pStyle w:val="Compact"/>
        <w:numPr>
          <w:ilvl w:val="0"/>
          <w:numId w:val="1010"/>
        </w:numPr>
      </w:pPr>
      <w:r>
        <w:t xml:space="preserve">Customers: Hyperscalers (MSFT, META, GOOGL, AMZN, ORCL), neoclouds (CRWV), sovereigns, </w:t>
      </w:r>
      <w:r>
        <w:rPr>
          <w:rFonts w:hint="eastAsia"/>
        </w:rPr>
        <w:t xml:space="preserve">enterprises｜超大规模云厂、新云、主权AI、企业</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(N4/N3, CoWoS), SK hynix/Micron/Samsung (HBM), ODMs (Foxconn, Quanta, Wistron), </w:t>
      </w:r>
      <w:r>
        <w:rPr>
          <w:rFonts w:hint="eastAsia"/>
        </w:rPr>
        <w:t xml:space="preserve">ABF/PCB｜台积电(制程+CoWoS)、HBM三巨头、ODM、ABF/PCB</w:t>
      </w:r>
    </w:p>
    <w:p>
      <w:pPr>
        <w:pStyle w:val="Compact"/>
        <w:numPr>
          <w:ilvl w:val="0"/>
          <w:numId w:val="1011"/>
        </w:numPr>
      </w:pPr>
      <w:r>
        <w:t xml:space="preserve">Competitors: AMD Instinct, custom ASICs (Broadcom/Marvell/Google TPU/Trainium), Intel, Chinese domestic </w:t>
      </w:r>
      <w:r>
        <w:rPr>
          <w:rFonts w:hint="eastAsia"/>
        </w:rPr>
        <w:t xml:space="preserve">GPUs｜AMD、定制ASIC(TPU/Trainium等)、英特尔、中国国产GPU</w:t>
      </w:r>
    </w:p>
    <w:p>
      <w:pPr>
        <w:pStyle w:val="Compact"/>
        <w:numPr>
          <w:ilvl w:val="0"/>
          <w:numId w:val="1011"/>
        </w:numPr>
      </w:pPr>
      <w:r>
        <w:t xml:space="preserve">Bottlenecks/regulation: CoWoS capacity, HBM supply, data-center power, export controls </w:t>
      </w:r>
      <w:r>
        <w:rPr>
          <w:rFonts w:hint="eastAsia"/>
        </w:rPr>
        <w:t xml:space="preserve">(China)｜CoWoS产能、HBM供应、数据中心电力、出口管制</w:t>
      </w:r>
    </w:p>
    <w:p>
      <w:pPr>
        <w:pStyle w:val="Compact"/>
        <w:numPr>
          <w:ilvl w:val="0"/>
          <w:numId w:val="1011"/>
        </w:numPr>
      </w:pPr>
      <w:r>
        <w:t xml:space="preserve">KPIs: DC revenue, GM%, networking revenue, hyperscaler capex, CoWoS </w:t>
      </w:r>
      <w:r>
        <w:rPr>
          <w:rFonts w:hint="eastAsia"/>
        </w:rPr>
        <w:t xml:space="preserve">allocation｜数据中心收入、毛利率、网络收入、云厂Capex、CoWoS分配</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96.2 bn USD</w:t>
            </w:r>
          </w:p>
        </w:tc>
        <w:tc>
          <w:tcPr/>
          <w:p>
            <w:pPr>
              <w:pStyle w:val="Compact"/>
            </w:pPr>
            <w:r>
              <w:t xml:space="preserve">72.1 bn USD</w:t>
            </w:r>
          </w:p>
        </w:tc>
        <w:tc>
          <w:tcPr/>
          <w:p>
            <w:pPr>
              <w:pStyle w:val="Compact"/>
            </w:pPr>
            <w:r>
              <w:t xml:space="preserve">63.7 bn USD</w:t>
            </w:r>
          </w:p>
        </w:tc>
        <w:tc>
          <w:tcPr/>
          <w:p>
            <w:pPr>
              <w:pStyle w:val="Compact"/>
            </w:pPr>
            <w:r>
              <w:t xml:space="preserve">59.7 bn USD</w:t>
            </w:r>
          </w:p>
        </w:tc>
        <w:tc>
          <w:tcPr/>
          <w:p>
            <w:pPr>
              <w:pStyle w:val="Compact"/>
            </w:pPr>
            <w:r>
              <w:t xml:space="preserve">21.4 bn USD</w:t>
            </w:r>
          </w:p>
        </w:tc>
        <w:tc>
          <w:tcPr/>
          <w:p>
            <w:pPr>
              <w:pStyle w:val="Compact"/>
            </w:pPr>
            <w:r>
              <w:t xml:space="preserve">66.2%</w:t>
            </w:r>
          </w:p>
        </w:tc>
      </w:tr>
      <w:tr>
        <w:tc>
          <w:tcPr/>
          <w:p>
            <w:pPr>
              <w:pStyle w:val="Compact"/>
            </w:pPr>
            <w:r>
              <w:t xml:space="preserve">2026-04-30</w:t>
            </w:r>
          </w:p>
        </w:tc>
        <w:tc>
          <w:tcPr/>
          <w:p>
            <w:pPr>
              <w:pStyle w:val="Compact"/>
            </w:pPr>
            <w:r>
              <w:t xml:space="preserve">81.6 bn USD</w:t>
            </w:r>
          </w:p>
        </w:tc>
        <w:tc>
          <w:tcPr/>
          <w:p>
            <w:pPr>
              <w:pStyle w:val="Compact"/>
            </w:pPr>
            <w:r>
              <w:t xml:space="preserve">61.2 bn USD</w:t>
            </w:r>
          </w:p>
        </w:tc>
        <w:tc>
          <w:tcPr/>
          <w:p>
            <w:pPr>
              <w:pStyle w:val="Compact"/>
            </w:pPr>
            <w:r>
              <w:t xml:space="preserve">53.5 bn USD</w:t>
            </w:r>
          </w:p>
        </w:tc>
        <w:tc>
          <w:tcPr/>
          <w:p>
            <w:pPr>
              <w:pStyle w:val="Compact"/>
            </w:pPr>
            <w:r>
              <w:t xml:space="preserve">58.3 bn USD</w:t>
            </w:r>
          </w:p>
        </w:tc>
        <w:tc>
          <w:tcPr/>
          <w:p>
            <w:pPr>
              <w:pStyle w:val="Compact"/>
            </w:pPr>
            <w:r>
              <w:t xml:space="preserve">48.6 bn USD</w:t>
            </w:r>
          </w:p>
        </w:tc>
        <w:tc>
          <w:tcPr/>
          <w:p>
            <w:pPr>
              <w:pStyle w:val="Compact"/>
            </w:pPr>
            <w:r>
              <w:t xml:space="preserve">65.6%</w:t>
            </w:r>
          </w:p>
        </w:tc>
      </w:tr>
      <w:tr>
        <w:tc>
          <w:tcPr/>
          <w:p>
            <w:pPr>
              <w:pStyle w:val="Compact"/>
            </w:pPr>
            <w:r>
              <w:t xml:space="preserve">2026-01-31</w:t>
            </w:r>
          </w:p>
        </w:tc>
        <w:tc>
          <w:tcPr/>
          <w:p>
            <w:pPr>
              <w:pStyle w:val="Compact"/>
            </w:pPr>
            <w:r>
              <w:t xml:space="preserve">68.1 bn USD</w:t>
            </w:r>
          </w:p>
        </w:tc>
        <w:tc>
          <w:tcPr/>
          <w:p>
            <w:pPr>
              <w:pStyle w:val="Compact"/>
            </w:pPr>
            <w:r>
              <w:t xml:space="preserve">51.1 bn USD</w:t>
            </w:r>
          </w:p>
        </w:tc>
        <w:tc>
          <w:tcPr/>
          <w:p>
            <w:pPr>
              <w:pStyle w:val="Compact"/>
            </w:pPr>
            <w:r>
              <w:t xml:space="preserve">44.3 bn USD</w:t>
            </w:r>
          </w:p>
        </w:tc>
        <w:tc>
          <w:tcPr/>
          <w:p>
            <w:pPr>
              <w:pStyle w:val="Compact"/>
            </w:pPr>
            <w:r>
              <w:t xml:space="preserve">43.0 bn USD</w:t>
            </w:r>
          </w:p>
        </w:tc>
        <w:tc>
          <w:tcPr/>
          <w:p>
            <w:pPr>
              <w:pStyle w:val="Compact"/>
            </w:pPr>
            <w:r>
              <w:t xml:space="preserve">34.9 bn USD</w:t>
            </w:r>
          </w:p>
        </w:tc>
        <w:tc>
          <w:tcPr/>
          <w:p>
            <w:pPr>
              <w:pStyle w:val="Compact"/>
            </w:pPr>
            <w:r>
              <w:t xml:space="preserve">65.0%</w:t>
            </w:r>
          </w:p>
        </w:tc>
      </w:tr>
      <w:tr>
        <w:tc>
          <w:tcPr/>
          <w:p>
            <w:pPr>
              <w:pStyle w:val="Compact"/>
            </w:pPr>
            <w:r>
              <w:t xml:space="preserve">2025-10-31</w:t>
            </w:r>
          </w:p>
        </w:tc>
        <w:tc>
          <w:tcPr/>
          <w:p>
            <w:pPr>
              <w:pStyle w:val="Compact"/>
            </w:pPr>
            <w:r>
              <w:t xml:space="preserve">57.0 bn USD</w:t>
            </w:r>
          </w:p>
        </w:tc>
        <w:tc>
          <w:tcPr/>
          <w:p>
            <w:pPr>
              <w:pStyle w:val="Compact"/>
            </w:pPr>
            <w:r>
              <w:t xml:space="preserve">41.8 bn USD</w:t>
            </w:r>
          </w:p>
        </w:tc>
        <w:tc>
          <w:tcPr/>
          <w:p>
            <w:pPr>
              <w:pStyle w:val="Compact"/>
            </w:pPr>
            <w:r>
              <w:t xml:space="preserve">36.0 bn USD</w:t>
            </w:r>
          </w:p>
        </w:tc>
        <w:tc>
          <w:tcPr/>
          <w:p>
            <w:pPr>
              <w:pStyle w:val="Compact"/>
            </w:pPr>
            <w:r>
              <w:t xml:space="preserve">31.9 bn USD</w:t>
            </w:r>
          </w:p>
        </w:tc>
        <w:tc>
          <w:tcPr/>
          <w:p>
            <w:pPr>
              <w:pStyle w:val="Compact"/>
            </w:pPr>
            <w:r>
              <w:t xml:space="preserve">22.1 bn USD</w:t>
            </w:r>
          </w:p>
        </w:tc>
        <w:tc>
          <w:tcPr/>
          <w:p>
            <w:pPr>
              <w:pStyle w:val="Compact"/>
            </w:pPr>
            <w:r>
              <w:t xml:space="preserve">63.2%</w:t>
            </w:r>
          </w:p>
        </w:tc>
      </w:tr>
      <w:tr>
        <w:tc>
          <w:tcPr/>
          <w:p>
            <w:pPr>
              <w:pStyle w:val="Compact"/>
            </w:pPr>
            <w:r>
              <w:t xml:space="preserve">2025-07-31</w:t>
            </w:r>
          </w:p>
        </w:tc>
        <w:tc>
          <w:tcPr/>
          <w:p>
            <w:pPr>
              <w:pStyle w:val="Compact"/>
            </w:pPr>
            <w:r>
              <w:t xml:space="preserve">46.7 bn USD</w:t>
            </w:r>
          </w:p>
        </w:tc>
        <w:tc>
          <w:tcPr/>
          <w:p>
            <w:pPr>
              <w:pStyle w:val="Compact"/>
            </w:pPr>
            <w:r>
              <w:t xml:space="preserve">33.9 bn USD</w:t>
            </w:r>
          </w:p>
        </w:tc>
        <w:tc>
          <w:tcPr/>
          <w:p>
            <w:pPr>
              <w:pStyle w:val="Compact"/>
            </w:pPr>
            <w:r>
              <w:t xml:space="preserve">28.4 bn USD</w:t>
            </w:r>
          </w:p>
        </w:tc>
        <w:tc>
          <w:tcPr/>
          <w:p>
            <w:pPr>
              <w:pStyle w:val="Compact"/>
            </w:pPr>
            <w:r>
              <w:t xml:space="preserve">26.4 bn USD</w:t>
            </w:r>
          </w:p>
        </w:tc>
        <w:tc>
          <w:tcPr/>
          <w:p>
            <w:pPr>
              <w:pStyle w:val="Compact"/>
            </w:pPr>
            <w:r>
              <w:t xml:space="preserve">13.5 bn USD</w:t>
            </w:r>
          </w:p>
        </w:tc>
        <w:tc>
          <w:tcPr/>
          <w:p>
            <w:pPr>
              <w:pStyle w:val="Compact"/>
            </w:pPr>
            <w:r>
              <w:t xml:space="preserve">60.8%</w:t>
            </w:r>
          </w:p>
        </w:tc>
      </w:tr>
    </w:tbl>
    <w:p>
      <w:pPr>
        <w:pStyle w:val="BodyText"/>
      </w:pPr>
      <w:r>
        <w:t xml:space="preserve">Cash 62.5 bn USD; debt 38.9 bn USD; TTM FCF 127.0 bn USD (FCF margin 41.9%).</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1.3</w:t>
            </w:r>
          </w:p>
        </w:tc>
        <w:tc>
          <w:tcPr/>
          <w:p>
            <w:pPr>
              <w:pStyle w:val="Compact"/>
            </w:pPr>
            <w:r>
              <w:t xml:space="preserve">1.25647</w:t>
            </w:r>
          </w:p>
        </w:tc>
        <w:tc>
          <w:tcPr/>
          <w:p>
            <w:pPr>
              <w:pStyle w:val="Compact"/>
            </w:pPr>
            <w:r>
              <w:t xml:space="preserve">0.0346</w:t>
            </w:r>
          </w:p>
        </w:tc>
      </w:tr>
      <w:tr>
        <w:tc>
          <w:tcPr/>
          <w:p>
            <w:pPr>
              <w:pStyle w:val="Compact"/>
            </w:pPr>
            <w:r>
              <w:t xml:space="preserve">2026-01-31</w:t>
            </w:r>
          </w:p>
        </w:tc>
        <w:tc>
          <w:tcPr/>
          <w:p>
            <w:pPr>
              <w:pStyle w:val="Compact"/>
            </w:pPr>
            <w:r>
              <w:t xml:space="preserve">1.62</w:t>
            </w:r>
          </w:p>
        </w:tc>
        <w:tc>
          <w:tcPr/>
          <w:p>
            <w:pPr>
              <w:pStyle w:val="Compact"/>
            </w:pPr>
            <w:r>
              <w:t xml:space="preserve">1.53812</w:t>
            </w:r>
          </w:p>
        </w:tc>
        <w:tc>
          <w:tcPr/>
          <w:p>
            <w:pPr>
              <w:pStyle w:val="Compact"/>
            </w:pPr>
            <w:r>
              <w:t xml:space="preserve">0.053200003</w:t>
            </w:r>
          </w:p>
        </w:tc>
      </w:tr>
      <w:tr>
        <w:tc>
          <w:tcPr/>
          <w:p>
            <w:pPr>
              <w:pStyle w:val="Compact"/>
            </w:pPr>
            <w:r>
              <w:t xml:space="preserve">2026-04-30</w:t>
            </w:r>
          </w:p>
        </w:tc>
        <w:tc>
          <w:tcPr/>
          <w:p>
            <w:pPr>
              <w:pStyle w:val="Compact"/>
            </w:pPr>
            <w:r>
              <w:t xml:space="preserve">1.87</w:t>
            </w:r>
          </w:p>
        </w:tc>
        <w:tc>
          <w:tcPr/>
          <w:p>
            <w:pPr>
              <w:pStyle w:val="Compact"/>
            </w:pPr>
            <w:r>
              <w:t xml:space="preserve">1.77191</w:t>
            </w:r>
          </w:p>
        </w:tc>
        <w:tc>
          <w:tcPr/>
          <w:p>
            <w:pPr>
              <w:pStyle w:val="Compact"/>
            </w:pPr>
            <w:r>
              <w:t xml:space="preserve">0.0554</w:t>
            </w:r>
          </w:p>
        </w:tc>
      </w:tr>
      <w:tr>
        <w:tc>
          <w:tcPr/>
          <w:p>
            <w:pPr>
              <w:pStyle w:val="Compact"/>
            </w:pPr>
            <w:r>
              <w:t xml:space="preserve">2026-07-31</w:t>
            </w:r>
          </w:p>
        </w:tc>
        <w:tc>
          <w:tcPr/>
          <w:p>
            <w:pPr>
              <w:pStyle w:val="Compact"/>
            </w:pPr>
            <w:r>
              <w:t xml:space="preserve">2.22</w:t>
            </w:r>
          </w:p>
        </w:tc>
        <w:tc>
          <w:tcPr/>
          <w:p>
            <w:pPr>
              <w:pStyle w:val="Compact"/>
            </w:pPr>
            <w:r>
              <w:t xml:space="preserve">2.09113</w:t>
            </w:r>
          </w:p>
        </w:tc>
        <w:tc>
          <w:tcPr/>
          <w:p>
            <w:pPr>
              <w:pStyle w:val="Compact"/>
            </w:pPr>
            <w:r>
              <w:t xml:space="preserve">0.0616</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2026-11-18</w:t>
      </w:r>
      <w:r>
        <w:t xml:space="preserve">; current-quarter EPS consensus 2.47325 (44 analysts); revenue consensus 109.0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$110.66</w:t>
            </w:r>
          </w:p>
        </w:tc>
        <w:tc>
          <w:tcPr/>
          <w:p>
            <w:pPr>
              <w:pStyle w:val="Compact"/>
            </w:pPr>
            <w:r>
              <w:t xml:space="preserve">-51.1%</w:t>
            </w:r>
          </w:p>
        </w:tc>
      </w:tr>
      <w:tr>
        <w:tc>
          <w:tcPr/>
          <w:p>
            <w:pPr>
              <w:pStyle w:val="Compact"/>
            </w:pPr>
            <w:r>
              <w:t xml:space="preserve">2Q</w:t>
            </w:r>
          </w:p>
        </w:tc>
        <w:tc>
          <w:tcPr/>
          <w:p>
            <w:pPr>
              <w:pStyle w:val="Compact"/>
            </w:pPr>
            <w:r>
              <w:t xml:space="preserve">Base</w:t>
            </w:r>
          </w:p>
        </w:tc>
        <w:tc>
          <w:tcPr/>
          <w:p>
            <w:pPr>
              <w:pStyle w:val="Compact"/>
            </w:pPr>
            <w:r>
              <w:t xml:space="preserve">$276.31</w:t>
            </w:r>
          </w:p>
        </w:tc>
        <w:tc>
          <w:tcPr/>
          <w:p>
            <w:pPr>
              <w:pStyle w:val="Compact"/>
            </w:pPr>
            <w:r>
              <w:t xml:space="preserve">22.1%</w:t>
            </w:r>
          </w:p>
        </w:tc>
      </w:tr>
      <w:tr>
        <w:tc>
          <w:tcPr/>
          <w:p>
            <w:pPr>
              <w:pStyle w:val="Compact"/>
            </w:pPr>
            <w:r>
              <w:t xml:space="preserve">2Q</w:t>
            </w:r>
          </w:p>
        </w:tc>
        <w:tc>
          <w:tcPr/>
          <w:p>
            <w:pPr>
              <w:pStyle w:val="Compact"/>
            </w:pPr>
            <w:r>
              <w:t xml:space="preserve">Bull</w:t>
            </w:r>
          </w:p>
        </w:tc>
        <w:tc>
          <w:tcPr/>
          <w:p>
            <w:pPr>
              <w:pStyle w:val="Compact"/>
            </w:pPr>
            <w:r>
              <w:t xml:space="preserve">$481.59</w:t>
            </w:r>
          </w:p>
        </w:tc>
        <w:tc>
          <w:tcPr/>
          <w:p>
            <w:pPr>
              <w:pStyle w:val="Compact"/>
            </w:pPr>
            <w:r>
              <w:t xml:space="preserve">112.8%</w:t>
            </w:r>
          </w:p>
        </w:tc>
      </w:tr>
      <w:tr>
        <w:tc>
          <w:tcPr/>
          <w:p>
            <w:pPr>
              <w:pStyle w:val="Compact"/>
            </w:pPr>
            <w:r>
              <w:t xml:space="preserve">4Q</w:t>
            </w:r>
          </w:p>
        </w:tc>
        <w:tc>
          <w:tcPr/>
          <w:p>
            <w:pPr>
              <w:pStyle w:val="Compact"/>
            </w:pPr>
            <w:r>
              <w:t xml:space="preserve">Bear</w:t>
            </w:r>
          </w:p>
        </w:tc>
        <w:tc>
          <w:tcPr/>
          <w:p>
            <w:pPr>
              <w:pStyle w:val="Compact"/>
            </w:pPr>
            <w:r>
              <w:t xml:space="preserve">$118.01</w:t>
            </w:r>
          </w:p>
        </w:tc>
        <w:tc>
          <w:tcPr/>
          <w:p>
            <w:pPr>
              <w:pStyle w:val="Compact"/>
            </w:pPr>
            <w:r>
              <w:t xml:space="preserve">-47.9%</w:t>
            </w:r>
          </w:p>
        </w:tc>
      </w:tr>
      <w:tr>
        <w:tc>
          <w:tcPr/>
          <w:p>
            <w:pPr>
              <w:pStyle w:val="Compact"/>
            </w:pPr>
            <w:r>
              <w:t xml:space="preserve">4Q</w:t>
            </w:r>
          </w:p>
        </w:tc>
        <w:tc>
          <w:tcPr/>
          <w:p>
            <w:pPr>
              <w:pStyle w:val="Compact"/>
            </w:pPr>
            <w:r>
              <w:t xml:space="preserve">Base</w:t>
            </w:r>
          </w:p>
        </w:tc>
        <w:tc>
          <w:tcPr/>
          <w:p>
            <w:pPr>
              <w:pStyle w:val="Compact"/>
            </w:pPr>
            <w:r>
              <w:t xml:space="preserve">$338.89</w:t>
            </w:r>
          </w:p>
        </w:tc>
        <w:tc>
          <w:tcPr/>
          <w:p>
            <w:pPr>
              <w:pStyle w:val="Compact"/>
            </w:pPr>
            <w:r>
              <w:t xml:space="preserve">49.7%</w:t>
            </w:r>
          </w:p>
        </w:tc>
      </w:tr>
      <w:tr>
        <w:tc>
          <w:tcPr/>
          <w:p>
            <w:pPr>
              <w:pStyle w:val="Compact"/>
            </w:pPr>
            <w:r>
              <w:t xml:space="preserve">4Q</w:t>
            </w:r>
          </w:p>
        </w:tc>
        <w:tc>
          <w:tcPr/>
          <w:p>
            <w:pPr>
              <w:pStyle w:val="Compact"/>
            </w:pPr>
            <w:r>
              <w:t xml:space="preserve">Bull</w:t>
            </w:r>
          </w:p>
        </w:tc>
        <w:tc>
          <w:tcPr/>
          <w:p>
            <w:pPr>
              <w:pStyle w:val="Compact"/>
            </w:pPr>
            <w:r>
              <w:t xml:space="preserve">$636.23</w:t>
            </w:r>
          </w:p>
        </w:tc>
        <w:tc>
          <w:tcPr/>
          <w:p>
            <w:pPr>
              <w:pStyle w:val="Compact"/>
            </w:pPr>
            <w:r>
              <w:t xml:space="preserve">181.1%</w:t>
            </w:r>
          </w:p>
        </w:tc>
      </w:tr>
      <w:tr>
        <w:tc>
          <w:tcPr/>
          <w:p>
            <w:pPr>
              <w:pStyle w:val="Compact"/>
            </w:pPr>
            <w:r>
              <w:t xml:space="preserve">6Q</w:t>
            </w:r>
          </w:p>
        </w:tc>
        <w:tc>
          <w:tcPr/>
          <w:p>
            <w:pPr>
              <w:pStyle w:val="Compact"/>
            </w:pPr>
            <w:r>
              <w:t xml:space="preserve">Bear</w:t>
            </w:r>
          </w:p>
        </w:tc>
        <w:tc>
          <w:tcPr/>
          <w:p>
            <w:pPr>
              <w:pStyle w:val="Compact"/>
            </w:pPr>
            <w:r>
              <w:t xml:space="preserve">$125.83</w:t>
            </w:r>
          </w:p>
        </w:tc>
        <w:tc>
          <w:tcPr/>
          <w:p>
            <w:pPr>
              <w:pStyle w:val="Compact"/>
            </w:pPr>
            <w:r>
              <w:t xml:space="preserve">-44.4%</w:t>
            </w:r>
          </w:p>
        </w:tc>
      </w:tr>
      <w:tr>
        <w:tc>
          <w:tcPr/>
          <w:p>
            <w:pPr>
              <w:pStyle w:val="Compact"/>
            </w:pPr>
            <w:r>
              <w:t xml:space="preserve">6Q</w:t>
            </w:r>
          </w:p>
        </w:tc>
        <w:tc>
          <w:tcPr/>
          <w:p>
            <w:pPr>
              <w:pStyle w:val="Compact"/>
            </w:pPr>
            <w:r>
              <w:t xml:space="preserve">Base</w:t>
            </w:r>
          </w:p>
        </w:tc>
        <w:tc>
          <w:tcPr/>
          <w:p>
            <w:pPr>
              <w:pStyle w:val="Compact"/>
            </w:pPr>
            <w:r>
              <w:t xml:space="preserve">$415.69</w:t>
            </w:r>
          </w:p>
        </w:tc>
        <w:tc>
          <w:tcPr/>
          <w:p>
            <w:pPr>
              <w:pStyle w:val="Compact"/>
            </w:pPr>
            <w:r>
              <w:t xml:space="preserve">83.7%</w:t>
            </w:r>
          </w:p>
        </w:tc>
      </w:tr>
      <w:tr>
        <w:tc>
          <w:tcPr/>
          <w:p>
            <w:pPr>
              <w:pStyle w:val="Compact"/>
            </w:pPr>
            <w:r>
              <w:t xml:space="preserve">6Q</w:t>
            </w:r>
          </w:p>
        </w:tc>
        <w:tc>
          <w:tcPr/>
          <w:p>
            <w:pPr>
              <w:pStyle w:val="Compact"/>
            </w:pPr>
            <w:r>
              <w:t xml:space="preserve">Bull</w:t>
            </w:r>
          </w:p>
        </w:tc>
        <w:tc>
          <w:tcPr/>
          <w:p>
            <w:pPr>
              <w:pStyle w:val="Compact"/>
            </w:pPr>
            <w:r>
              <w:t xml:space="preserve">$840.28</w:t>
            </w:r>
          </w:p>
        </w:tc>
        <w:tc>
          <w:tcPr/>
          <w:p>
            <w:pPr>
              <w:pStyle w:val="Compact"/>
            </w:pPr>
            <w:r>
              <w:t xml:space="preserve">271.3%</w:t>
            </w:r>
          </w:p>
        </w:tc>
      </w:tr>
      <w:tr>
        <w:tc>
          <w:tcPr/>
          <w:p>
            <w:pPr>
              <w:pStyle w:val="Compact"/>
            </w:pPr>
            <w:r>
              <w:t xml:space="preserve">8Q</w:t>
            </w:r>
          </w:p>
        </w:tc>
        <w:tc>
          <w:tcPr/>
          <w:p>
            <w:pPr>
              <w:pStyle w:val="Compact"/>
            </w:pPr>
            <w:r>
              <w:t xml:space="preserve">Bear</w:t>
            </w:r>
          </w:p>
        </w:tc>
        <w:tc>
          <w:tcPr/>
          <w:p>
            <w:pPr>
              <w:pStyle w:val="Compact"/>
            </w:pPr>
            <w:r>
              <w:t xml:space="preserve">$134.15</w:t>
            </w:r>
          </w:p>
        </w:tc>
        <w:tc>
          <w:tcPr/>
          <w:p>
            <w:pPr>
              <w:pStyle w:val="Compact"/>
            </w:pPr>
            <w:r>
              <w:t xml:space="preserve">-40.7%</w:t>
            </w:r>
          </w:p>
        </w:tc>
      </w:tr>
      <w:tr>
        <w:tc>
          <w:tcPr/>
          <w:p>
            <w:pPr>
              <w:pStyle w:val="Compact"/>
            </w:pPr>
            <w:r>
              <w:t xml:space="preserve">8Q</w:t>
            </w:r>
          </w:p>
        </w:tc>
        <w:tc>
          <w:tcPr/>
          <w:p>
            <w:pPr>
              <w:pStyle w:val="Compact"/>
            </w:pPr>
            <w:r>
              <w:t xml:space="preserve">Base</w:t>
            </w:r>
          </w:p>
        </w:tc>
        <w:tc>
          <w:tcPr/>
          <w:p>
            <w:pPr>
              <w:pStyle w:val="Compact"/>
            </w:pPr>
            <w:r>
              <w:t xml:space="preserve">$509.95</w:t>
            </w:r>
          </w:p>
        </w:tc>
        <w:tc>
          <w:tcPr/>
          <w:p>
            <w:pPr>
              <w:pStyle w:val="Compact"/>
            </w:pPr>
            <w:r>
              <w:t xml:space="preserve">125.3%</w:t>
            </w:r>
          </w:p>
        </w:tc>
      </w:tr>
      <w:tr>
        <w:tc>
          <w:tcPr/>
          <w:p>
            <w:pPr>
              <w:pStyle w:val="Compact"/>
            </w:pPr>
            <w:r>
              <w:t xml:space="preserve">8Q</w:t>
            </w:r>
          </w:p>
        </w:tc>
        <w:tc>
          <w:tcPr/>
          <w:p>
            <w:pPr>
              <w:pStyle w:val="Compact"/>
            </w:pPr>
            <w:r>
              <w:t xml:space="preserve">Bull</w:t>
            </w:r>
          </w:p>
        </w:tc>
        <w:tc>
          <w:tcPr/>
          <w:p>
            <w:pPr>
              <w:pStyle w:val="Compact"/>
            </w:pPr>
            <w:r>
              <w:t xml:space="preserve">$1,109.40</w:t>
            </w:r>
          </w:p>
        </w:tc>
        <w:tc>
          <w:tcPr/>
          <w:p>
            <w:pPr>
              <w:pStyle w:val="Compact"/>
            </w:pPr>
            <w:r>
              <w:t xml:space="preserve">390.2%</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19.2x</w:t>
            </w:r>
          </w:p>
        </w:tc>
      </w:tr>
      <w:tr>
        <w:tc>
          <w:tcPr/>
          <w:p>
            <w:pPr>
              <w:pStyle w:val="Compact"/>
            </w:pPr>
            <w:r>
              <w:t xml:space="preserve">4Q</w:t>
            </w:r>
          </w:p>
        </w:tc>
        <w:tc>
          <w:tcPr/>
          <w:p>
            <w:pPr>
              <w:pStyle w:val="Compact"/>
            </w:pPr>
            <w:r>
              <w:t xml:space="preserve">14.7x</w:t>
            </w:r>
          </w:p>
        </w:tc>
      </w:tr>
      <w:tr>
        <w:tc>
          <w:tcPr/>
          <w:p>
            <w:pPr>
              <w:pStyle w:val="Compact"/>
            </w:pPr>
            <w:r>
              <w:t xml:space="preserve">6Q</w:t>
            </w:r>
          </w:p>
        </w:tc>
        <w:tc>
          <w:tcPr/>
          <w:p>
            <w:pPr>
              <w:pStyle w:val="Compact"/>
            </w:pPr>
            <w:r>
              <w:t xml:space="preserve">11.3x</w:t>
            </w:r>
          </w:p>
        </w:tc>
      </w:tr>
      <w:tr>
        <w:tc>
          <w:tcPr/>
          <w:p>
            <w:pPr>
              <w:pStyle w:val="Compact"/>
            </w:pPr>
            <w:r>
              <w:t xml:space="preserve">8Q</w:t>
            </w:r>
          </w:p>
        </w:tc>
        <w:tc>
          <w:tcPr/>
          <w:p>
            <w:pPr>
              <w:pStyle w:val="Compact"/>
            </w:pPr>
            <w:r>
              <w:t xml:space="preserve">8.6x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34.1%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$126.10</w:t>
            </w:r>
          </w:p>
        </w:tc>
        <w:tc>
          <w:tcPr/>
          <w:p>
            <w:pPr>
              <w:pStyle w:val="Compact"/>
            </w:pPr>
            <w:r>
              <w:t xml:space="preserve">-44.3%</w:t>
            </w:r>
          </w:p>
        </w:tc>
      </w:tr>
      <w:tr>
        <w:tc>
          <w:tcPr/>
          <w:p>
            <w:pPr>
              <w:pStyle w:val="Compact"/>
            </w:pPr>
            <w:r>
              <w:t xml:space="preserve">Base</w:t>
            </w:r>
          </w:p>
        </w:tc>
        <w:tc>
          <w:tcPr/>
          <w:p>
            <w:pPr>
              <w:pStyle w:val="Compact"/>
            </w:pPr>
            <w:r>
              <w:t xml:space="preserve">68.2%</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$549.25</w:t>
            </w:r>
          </w:p>
        </w:tc>
        <w:tc>
          <w:tcPr/>
          <w:p>
            <w:pPr>
              <w:pStyle w:val="Compact"/>
            </w:pPr>
            <w:r>
              <w:t xml:space="preserve">142.7%</w:t>
            </w:r>
          </w:p>
        </w:tc>
      </w:tr>
      <w:tr>
        <w:tc>
          <w:tcPr/>
          <w:p>
            <w:pPr>
              <w:pStyle w:val="Compact"/>
            </w:pPr>
            <w:r>
              <w:t xml:space="preserve">Bull</w:t>
            </w:r>
          </w:p>
        </w:tc>
        <w:tc>
          <w:tcPr/>
          <w:p>
            <w:pPr>
              <w:pStyle w:val="Compact"/>
            </w:pPr>
            <w:r>
              <w:t xml:space="preserve">88.6%</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$1,311.89</w:t>
            </w:r>
          </w:p>
        </w:tc>
        <w:tc>
          <w:tcPr/>
          <w:p>
            <w:pPr>
              <w:pStyle w:val="Compact"/>
            </w:pPr>
            <w:r>
              <w:t xml:space="preserve">479.7%</w:t>
            </w:r>
          </w:p>
        </w:tc>
      </w:tr>
    </w:tbl>
    <w:p>
      <w:pPr>
        <w:pStyle w:val="BodyText"/>
      </w:pPr>
      <w:r>
        <w:t xml:space="preserve">Probability-weighted value</w:t>
      </w:r>
      <w:r>
        <w:t xml:space="preserve"> </w:t>
      </w:r>
      <w:r>
        <w:rPr>
          <w:b/>
          <w:bCs/>
        </w:rPr>
        <w:t xml:space="preserve">$634.12</w:t>
      </w:r>
      <w:r>
        <w:t xml:space="preserve"> </w:t>
      </w:r>
      <w:r>
        <w:t xml:space="preserve">(180.2%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13,239.1 bn USD; terminal share 55.8%.</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41.0%</w:t>
      </w:r>
      <w:r>
        <w:t xml:space="preserve"> </w:t>
      </w:r>
      <w:r>
        <w:t xml:space="preserve">vs consensus FY+1 68.2%.</w:t>
      </w:r>
    </w:p>
    <w:p>
      <w:pPr>
        <w:pStyle w:val="Compact"/>
        <w:numPr>
          <w:ilvl w:val="0"/>
          <w:numId w:val="1013"/>
        </w:numPr>
      </w:pPr>
      <w:r>
        <w:t xml:space="preserve">WACC (CAPM) = rf 5.2% + β 1.60 × ERP 5.0% = 13.2%.</w:t>
      </w:r>
    </w:p>
    <w:p>
      <w:pPr>
        <w:pStyle w:val="Compact"/>
        <w:numPr>
          <w:ilvl w:val="0"/>
          <w:numId w:val="1013"/>
        </w:numPr>
      </w:pPr>
      <w:r>
        <w:t xml:space="preserve">SOTP segments: Data Center compute </w:t>
      </w:r>
      <w:r>
        <w:rPr>
          <w:rFonts w:hint="eastAsia"/>
        </w:rPr>
        <w:t xml:space="preserve">数据中心计算;</w:t>
      </w:r>
      <w:r>
        <w:t xml:space="preserve"> Data Center networking </w:t>
      </w:r>
      <w:r>
        <w:rPr>
          <w:rFonts w:hint="eastAsia"/>
        </w:rPr>
        <w:t xml:space="preserve">网络;</w:t>
      </w:r>
      <w:r>
        <w:t xml:space="preserve"> Gaming </w:t>
      </w:r>
      <w:r>
        <w:rPr>
          <w:rFonts w:hint="eastAsia"/>
        </w:rPr>
        <w:t xml:space="preserve">游戏;</w:t>
      </w:r>
      <w:r>
        <w:t xml:space="preserve"> ProViz/Auto/Other </w:t>
      </w:r>
      <w:r>
        <w:rPr>
          <w:rFonts w:hint="eastAsia"/>
        </w:rPr>
        <w:t xml:space="preserve">专业可视化/汽车</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Capex digestion in 2027, ASIC share gains, gross-margin pressure from HBM </w:t>
      </w:r>
      <w:r>
        <w:rPr>
          <w:rFonts w:hint="eastAsia"/>
        </w:rPr>
        <w:t xml:space="preserve">costs｜2027年Capex消化、ASIC份额提升、HBM成本压毛利</w:t>
      </w:r>
      <w:r>
        <w:t xml:space="preserve"> | Falsifiers: Top-4 hyperscaler capex guides down; DC revenue q/q growth &lt;5% two quarters; GM below </w:t>
      </w:r>
      <w:r>
        <w:rPr>
          <w:rFonts w:hint="eastAsia"/>
        </w:rPr>
        <w:t xml:space="preserve">mid-60s%｜四大云Capex下修；DC收入环比连续两季&lt;5%；毛利率跌破60%中段</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NVDA_model_v20261013-1812.xlsx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2026-10-13T10:13:03Z</dcterms:created>
  <dcterms:modified xsi:type="dcterms:W3CDTF">2026-10-13T10:13:03Z</dcterms:modified>
</cp:coreProperties>
</file>

<file path=docProps/custom.xml><?xml version="1.0" encoding="utf-8"?>
<Properties xmlns="http://schemas.openxmlformats.org/officeDocument/2006/custom-properties" xmlns:vt="http://schemas.openxmlformats.org/officeDocument/2006/docPropsVTypes"/>
</file>