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5ad101435eec051aa7f73e6ff8d75eca0e0fd1"/>
    <w:p>
      <w:pPr>
        <w:pStyle w:val="Heading1"/>
      </w:pPr>
      <w:r>
        <w:t xml:space="preserve">PWR Quanta Services,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$694.79｜市值</w:t>
      </w:r>
      <w:r>
        <w:t xml:space="preserve"> 104.5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Quanta是’AI→电力需求→电网投资’传导链上的劳动力瓶颈龙头；电力公司资本开支计划是领先指标。</w:t>
      </w:r>
    </w:p>
    <w:p>
      <w:pPr>
        <w:pStyle w:val="Compact"/>
        <w:numPr>
          <w:ilvl w:val="0"/>
          <w:numId w:val="1001"/>
        </w:numPr>
      </w:pPr>
      <w:r>
        <w:rPr>
          <w:rFonts w:hint="eastAsia"/>
          <w:b/>
          <w:bCs/>
        </w:rPr>
        <w:t xml:space="preserve">多头驱动</w:t>
      </w:r>
      <w:r>
        <w:t xml:space="preserve">: Utility capex plans raised; large transmission </w:t>
      </w:r>
      <w:r>
        <w:rPr>
          <w:rFonts w:hint="eastAsia"/>
        </w:rPr>
        <w:t xml:space="preserve">awards｜电力公司上调Capex；大型输电项目</w:t>
      </w:r>
    </w:p>
    <w:p>
      <w:pPr>
        <w:pStyle w:val="Compact"/>
        <w:numPr>
          <w:ilvl w:val="0"/>
          <w:numId w:val="1001"/>
        </w:numPr>
      </w:pPr>
      <w:r>
        <w:rPr>
          <w:rFonts w:hint="eastAsia"/>
          <w:b/>
          <w:bCs/>
        </w:rPr>
        <w:t xml:space="preserve">空头驱动</w:t>
      </w:r>
      <w:r>
        <w:t xml:space="preserve">: Permitting delays; renewable policy </w:t>
      </w:r>
      <w:r>
        <w:rPr>
          <w:rFonts w:hint="eastAsia"/>
        </w:rPr>
        <w:t xml:space="preserve">reversal｜审批延迟；可再生政策逆转</w:t>
      </w:r>
    </w:p>
    <w:p>
      <w:pPr>
        <w:pStyle w:val="Compact"/>
        <w:numPr>
          <w:ilvl w:val="0"/>
          <w:numId w:val="1001"/>
        </w:numPr>
      </w:pPr>
      <w:r>
        <w:rPr>
          <w:rFonts w:hint="eastAsia"/>
          <w:b/>
          <w:bCs/>
        </w:rPr>
        <w:t xml:space="preserve">证伪条件</w:t>
      </w:r>
      <w:r>
        <w:rPr>
          <w:b/>
          <w:bCs/>
        </w:rPr>
        <w:t xml:space="preserve"> Falsifiers</w:t>
      </w:r>
      <w:r>
        <w:t xml:space="preserve">: Backlog growth stalls; utility capex </w:t>
      </w:r>
      <w:r>
        <w:rPr>
          <w:rFonts w:hint="eastAsia"/>
        </w:rPr>
        <w:t xml:space="preserve">cut｜积压停滞；电力Capex下修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Power grid / utility infrastructure </w:t>
      </w:r>
      <w:r>
        <w:rPr>
          <w:rFonts w:hint="eastAsia"/>
        </w:rPr>
        <w:t xml:space="preserve">电网基建</w:t>
      </w:r>
    </w:p>
    <w:p>
      <w:pPr>
        <w:pStyle w:val="Compact"/>
        <w:numPr>
          <w:ilvl w:val="0"/>
          <w:numId w:val="1002"/>
        </w:numPr>
      </w:pPr>
      <w:r>
        <w:rPr>
          <w:rFonts w:hint="eastAsia"/>
        </w:rPr>
        <w:t xml:space="preserve">业务分部</w:t>
      </w:r>
      <w:r>
        <w:t xml:space="preserve"> Segments: Electric infrastructure </w:t>
      </w:r>
      <w:r>
        <w:rPr>
          <w:rFonts w:hint="eastAsia"/>
        </w:rPr>
        <w:t xml:space="preserve">电力基础设施；Renewable</w:t>
      </w:r>
      <w:r>
        <w:t xml:space="preserve"> infrastructure </w:t>
      </w:r>
      <w:r>
        <w:rPr>
          <w:rFonts w:hint="eastAsia"/>
        </w:rPr>
        <w:t xml:space="preserve">可再生能源；Underground</w:t>
      </w:r>
      <w:r>
        <w:t xml:space="preserve"> utility </w:t>
      </w:r>
      <w:r>
        <w:rPr>
          <w:rFonts w:hint="eastAsia"/>
        </w:rPr>
        <w:t xml:space="preserve">地下管线</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02"/>
        </w:numPr>
      </w:pPr>
      <w:r>
        <w:rPr>
          <w:rFonts w:hint="eastAsia"/>
        </w:rPr>
        <w:t xml:space="preserve">主要客户:</w:t>
      </w:r>
      <w:r>
        <w:t xml:space="preserve"> Utilities, hyperscalers (via utilities), renewable </w:t>
      </w:r>
      <w:r>
        <w:rPr>
          <w:rFonts w:hint="eastAsia"/>
        </w:rPr>
        <w:t xml:space="preserve">developers｜电力公司、云厂、可再生开发商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Labor (linemen), transformers, </w:t>
      </w:r>
      <w:r>
        <w:rPr>
          <w:rFonts w:hint="eastAsia"/>
        </w:rPr>
        <w:t xml:space="preserve">cable｜线路工人、变压器、电缆</w:t>
      </w:r>
    </w:p>
    <w:p>
      <w:pPr>
        <w:pStyle w:val="Compact"/>
        <w:numPr>
          <w:ilvl w:val="0"/>
          <w:numId w:val="1003"/>
        </w:numPr>
      </w:pPr>
      <w:r>
        <w:rPr>
          <w:rFonts w:hint="eastAsia"/>
        </w:rPr>
        <w:t xml:space="preserve">竞争者</w:t>
      </w:r>
      <w:r>
        <w:t xml:space="preserve"> </w:t>
      </w:r>
      <w:r>
        <w:rPr>
          <w:rFonts w:hint="eastAsia"/>
        </w:rPr>
        <w:t xml:space="preserve">(含业外):</w:t>
      </w:r>
      <w:r>
        <w:t xml:space="preserve"> MasTec, MYR, Primoris, utility in-house </w:t>
      </w:r>
      <w:r>
        <w:rPr>
          <w:rFonts w:hint="eastAsia"/>
        </w:rPr>
        <w:t xml:space="preserve">crews｜MasTec、MYR、Primoris</w:t>
      </w:r>
    </w:p>
    <w:p>
      <w:pPr>
        <w:pStyle w:val="Compact"/>
        <w:numPr>
          <w:ilvl w:val="0"/>
          <w:numId w:val="1003"/>
        </w:numPr>
      </w:pPr>
      <w:r>
        <w:rPr>
          <w:rFonts w:hint="eastAsia"/>
        </w:rPr>
        <w:t xml:space="preserve">瓶颈/监管:</w:t>
      </w:r>
      <w:r>
        <w:t xml:space="preserve"> Interconnection queues, transformer lead times, skilled </w:t>
      </w:r>
      <w:r>
        <w:rPr>
          <w:rFonts w:hint="eastAsia"/>
        </w:rPr>
        <w:t xml:space="preserve">labor｜并网排队、变压器交期、技工</w:t>
      </w:r>
    </w:p>
    <w:p>
      <w:pPr>
        <w:pStyle w:val="Compact"/>
        <w:numPr>
          <w:ilvl w:val="0"/>
          <w:numId w:val="1003"/>
        </w:numPr>
      </w:pPr>
      <w:r>
        <w:rPr>
          <w:rFonts w:hint="eastAsia"/>
        </w:rPr>
        <w:t xml:space="preserve">关键KPI:</w:t>
      </w:r>
      <w:r>
        <w:t xml:space="preserve"> Backlog, adj. EBITDA margin, electric segment </w:t>
      </w:r>
      <w:r>
        <w:rPr>
          <w:rFonts w:hint="eastAsia"/>
        </w:rPr>
        <w:t xml:space="preserve">growth｜积压订单、调整后EBITDA利润率、电力业务增速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rPr>
          <w:rFonts w:hint="eastAsia"/>
        </w:rPr>
        <w:t xml:space="preserve">资产负债:</w:t>
      </w:r>
      <w:r>
        <w:t xml:space="preserve"> </w:t>
      </w:r>
      <w:r>
        <w:rPr>
          <w:rFonts w:hint="eastAsia"/>
        </w:rPr>
        <w:t xml:space="preserve">现金</w:t>
      </w:r>
      <w:r>
        <w:t xml:space="preserve"> 0.5 bn </w:t>
      </w:r>
      <w:r>
        <w:rPr>
          <w:rFonts w:hint="eastAsia"/>
        </w:rPr>
        <w:t xml:space="preserve">USD；总负债</w:t>
      </w:r>
      <w:r>
        <w:t xml:space="preserve"> 6.6 bn </w:t>
      </w:r>
      <w:r>
        <w:rPr>
          <w:rFonts w:hint="eastAsia"/>
        </w:rPr>
        <w:t xml:space="preserve">USD；净现金</w:t>
      </w:r>
      <w:r>
        <w:t xml:space="preserve"> -6.1 bn USD。TTM FCF 2.4 bn </w:t>
      </w:r>
      <w:r>
        <w:rPr>
          <w:rFonts w:hint="eastAsia"/>
        </w:rPr>
        <w:t xml:space="preserve">USD（FCF率</w:t>
      </w:r>
      <w:r>
        <w:t xml:space="preserve"> </w:t>
      </w:r>
      <w:r>
        <w:rPr>
          <w:rFonts w:hint="eastAsia"/>
        </w:rPr>
        <w:t xml:space="preserve">7.3%）。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4.99112（21位分析师）；收入一致预期</w:t>
      </w:r>
      <w:r>
        <w:t xml:space="preserve"> 10.9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$187.61</w:t>
            </w:r>
          </w:p>
        </w:tc>
        <w:tc>
          <w:tcPr/>
          <w:p>
            <w:pPr>
              <w:pStyle w:val="Compact"/>
            </w:pPr>
            <w:r>
              <w:t xml:space="preserve">-73.0%</w:t>
            </w:r>
          </w:p>
        </w:tc>
      </w:tr>
      <w:tr>
        <w:tc>
          <w:tcPr/>
          <w:p>
            <w:pPr>
              <w:pStyle w:val="Compact"/>
            </w:pPr>
            <w:r>
              <w:t xml:space="preserve">2Q</w:t>
            </w:r>
          </w:p>
        </w:tc>
        <w:tc>
          <w:tcPr/>
          <w:p>
            <w:pPr>
              <w:pStyle w:val="Compact"/>
            </w:pPr>
            <w:r>
              <w:t xml:space="preserve">Base</w:t>
            </w:r>
          </w:p>
        </w:tc>
        <w:tc>
          <w:tcPr/>
          <w:p>
            <w:pPr>
              <w:pStyle w:val="Compact"/>
            </w:pPr>
            <w:r>
              <w:t xml:space="preserve">$404.23</w:t>
            </w:r>
          </w:p>
        </w:tc>
        <w:tc>
          <w:tcPr/>
          <w:p>
            <w:pPr>
              <w:pStyle w:val="Compact"/>
            </w:pPr>
            <w:r>
              <w:t xml:space="preserve">-41.8%</w:t>
            </w:r>
          </w:p>
        </w:tc>
      </w:tr>
      <w:tr>
        <w:tc>
          <w:tcPr/>
          <w:p>
            <w:pPr>
              <w:pStyle w:val="Compact"/>
            </w:pPr>
            <w:r>
              <w:t xml:space="preserve">2Q</w:t>
            </w:r>
          </w:p>
        </w:tc>
        <w:tc>
          <w:tcPr/>
          <w:p>
            <w:pPr>
              <w:pStyle w:val="Compact"/>
            </w:pPr>
            <w:r>
              <w:t xml:space="preserve">Bull</w:t>
            </w:r>
          </w:p>
        </w:tc>
        <w:tc>
          <w:tcPr/>
          <w:p>
            <w:pPr>
              <w:pStyle w:val="Compact"/>
            </w:pPr>
            <w:r>
              <w:t xml:space="preserve">$646.22</w:t>
            </w:r>
          </w:p>
        </w:tc>
        <w:tc>
          <w:tcPr/>
          <w:p>
            <w:pPr>
              <w:pStyle w:val="Compact"/>
            </w:pPr>
            <w:r>
              <w:t xml:space="preserve">-7.0%</w:t>
            </w:r>
          </w:p>
        </w:tc>
      </w:tr>
      <w:tr>
        <w:tc>
          <w:tcPr/>
          <w:p>
            <w:pPr>
              <w:pStyle w:val="Compact"/>
            </w:pPr>
            <w:r>
              <w:t xml:space="preserve">4Q</w:t>
            </w:r>
          </w:p>
        </w:tc>
        <w:tc>
          <w:tcPr/>
          <w:p>
            <w:pPr>
              <w:pStyle w:val="Compact"/>
            </w:pPr>
            <w:r>
              <w:t xml:space="preserve">Bear</w:t>
            </w:r>
          </w:p>
        </w:tc>
        <w:tc>
          <w:tcPr/>
          <w:p>
            <w:pPr>
              <w:pStyle w:val="Compact"/>
            </w:pPr>
            <w:r>
              <w:t xml:space="preserve">$176.56</w:t>
            </w:r>
          </w:p>
        </w:tc>
        <w:tc>
          <w:tcPr/>
          <w:p>
            <w:pPr>
              <w:pStyle w:val="Compact"/>
            </w:pPr>
            <w:r>
              <w:t xml:space="preserve">-74.6%</w:t>
            </w:r>
          </w:p>
        </w:tc>
      </w:tr>
      <w:tr>
        <w:tc>
          <w:tcPr/>
          <w:p>
            <w:pPr>
              <w:pStyle w:val="Compact"/>
            </w:pPr>
            <w:r>
              <w:t xml:space="preserve">4Q</w:t>
            </w:r>
          </w:p>
        </w:tc>
        <w:tc>
          <w:tcPr/>
          <w:p>
            <w:pPr>
              <w:pStyle w:val="Compact"/>
            </w:pPr>
            <w:r>
              <w:t xml:space="preserve">Base</w:t>
            </w:r>
          </w:p>
        </w:tc>
        <w:tc>
          <w:tcPr/>
          <w:p>
            <w:pPr>
              <w:pStyle w:val="Compact"/>
            </w:pPr>
            <w:r>
              <w:t xml:space="preserve">$405.67</w:t>
            </w:r>
          </w:p>
        </w:tc>
        <w:tc>
          <w:tcPr/>
          <w:p>
            <w:pPr>
              <w:pStyle w:val="Compact"/>
            </w:pPr>
            <w:r>
              <w:t xml:space="preserve">-41.6%</w:t>
            </w:r>
          </w:p>
        </w:tc>
      </w:tr>
      <w:tr>
        <w:tc>
          <w:tcPr/>
          <w:p>
            <w:pPr>
              <w:pStyle w:val="Compact"/>
            </w:pPr>
            <w:r>
              <w:t xml:space="preserve">4Q</w:t>
            </w:r>
          </w:p>
        </w:tc>
        <w:tc>
          <w:tcPr/>
          <w:p>
            <w:pPr>
              <w:pStyle w:val="Compact"/>
            </w:pPr>
            <w:r>
              <w:t xml:space="preserve">Bull</w:t>
            </w:r>
          </w:p>
        </w:tc>
        <w:tc>
          <w:tcPr/>
          <w:p>
            <w:pPr>
              <w:pStyle w:val="Compact"/>
            </w:pPr>
            <w:r>
              <w:t xml:space="preserve">$671.87</w:t>
            </w:r>
          </w:p>
        </w:tc>
        <w:tc>
          <w:tcPr/>
          <w:p>
            <w:pPr>
              <w:pStyle w:val="Compact"/>
            </w:pPr>
            <w:r>
              <w:t xml:space="preserve">-3.3%</w:t>
            </w:r>
          </w:p>
        </w:tc>
      </w:tr>
      <w:tr>
        <w:tc>
          <w:tcPr/>
          <w:p>
            <w:pPr>
              <w:pStyle w:val="Compact"/>
            </w:pPr>
            <w:r>
              <w:t xml:space="preserve">6Q</w:t>
            </w:r>
          </w:p>
        </w:tc>
        <w:tc>
          <w:tcPr/>
          <w:p>
            <w:pPr>
              <w:pStyle w:val="Compact"/>
            </w:pPr>
            <w:r>
              <w:t xml:space="preserve">Bear</w:t>
            </w:r>
          </w:p>
        </w:tc>
        <w:tc>
          <w:tcPr/>
          <w:p>
            <w:pPr>
              <w:pStyle w:val="Compact"/>
            </w:pPr>
            <w:r>
              <w:t xml:space="preserve">$165.86</w:t>
            </w:r>
          </w:p>
        </w:tc>
        <w:tc>
          <w:tcPr/>
          <w:p>
            <w:pPr>
              <w:pStyle w:val="Compact"/>
            </w:pPr>
            <w:r>
              <w:t xml:space="preserve">-76.1%</w:t>
            </w:r>
          </w:p>
        </w:tc>
      </w:tr>
      <w:tr>
        <w:tc>
          <w:tcPr/>
          <w:p>
            <w:pPr>
              <w:pStyle w:val="Compact"/>
            </w:pPr>
            <w:r>
              <w:t xml:space="preserve">6Q</w:t>
            </w:r>
          </w:p>
        </w:tc>
        <w:tc>
          <w:tcPr/>
          <w:p>
            <w:pPr>
              <w:pStyle w:val="Compact"/>
            </w:pPr>
            <w:r>
              <w:t xml:space="preserve">Base</w:t>
            </w:r>
          </w:p>
        </w:tc>
        <w:tc>
          <w:tcPr/>
          <w:p>
            <w:pPr>
              <w:pStyle w:val="Compact"/>
            </w:pPr>
            <w:r>
              <w:t xml:space="preserve">$406.85</w:t>
            </w:r>
          </w:p>
        </w:tc>
        <w:tc>
          <w:tcPr/>
          <w:p>
            <w:pPr>
              <w:pStyle w:val="Compact"/>
            </w:pPr>
            <w:r>
              <w:t xml:space="preserve">-41.4%</w:t>
            </w:r>
          </w:p>
        </w:tc>
      </w:tr>
      <w:tr>
        <w:tc>
          <w:tcPr/>
          <w:p>
            <w:pPr>
              <w:pStyle w:val="Compact"/>
            </w:pPr>
            <w:r>
              <w:t xml:space="preserve">6Q</w:t>
            </w:r>
          </w:p>
        </w:tc>
        <w:tc>
          <w:tcPr/>
          <w:p>
            <w:pPr>
              <w:pStyle w:val="Compact"/>
            </w:pPr>
            <w:r>
              <w:t xml:space="preserve">Bull</w:t>
            </w:r>
          </w:p>
        </w:tc>
        <w:tc>
          <w:tcPr/>
          <w:p>
            <w:pPr>
              <w:pStyle w:val="Compact"/>
            </w:pPr>
            <w:r>
              <w:t xml:space="preserve">$698.21</w:t>
            </w:r>
          </w:p>
        </w:tc>
        <w:tc>
          <w:tcPr/>
          <w:p>
            <w:pPr>
              <w:pStyle w:val="Compact"/>
            </w:pPr>
            <w:r>
              <w:t xml:space="preserve">0.5%</w:t>
            </w:r>
          </w:p>
        </w:tc>
      </w:tr>
      <w:tr>
        <w:tc>
          <w:tcPr/>
          <w:p>
            <w:pPr>
              <w:pStyle w:val="Compact"/>
            </w:pPr>
            <w:r>
              <w:t xml:space="preserve">8Q</w:t>
            </w:r>
          </w:p>
        </w:tc>
        <w:tc>
          <w:tcPr/>
          <w:p>
            <w:pPr>
              <w:pStyle w:val="Compact"/>
            </w:pPr>
            <w:r>
              <w:t xml:space="preserve">Bear</w:t>
            </w:r>
          </w:p>
        </w:tc>
        <w:tc>
          <w:tcPr/>
          <w:p>
            <w:pPr>
              <w:pStyle w:val="Compact"/>
            </w:pPr>
            <w:r>
              <w:t xml:space="preserve">$155.48</w:t>
            </w:r>
          </w:p>
        </w:tc>
        <w:tc>
          <w:tcPr/>
          <w:p>
            <w:pPr>
              <w:pStyle w:val="Compact"/>
            </w:pPr>
            <w:r>
              <w:t xml:space="preserve">-77.6%</w:t>
            </w:r>
          </w:p>
        </w:tc>
      </w:tr>
      <w:tr>
        <w:tc>
          <w:tcPr/>
          <w:p>
            <w:pPr>
              <w:pStyle w:val="Compact"/>
            </w:pPr>
            <w:r>
              <w:t xml:space="preserve">8Q</w:t>
            </w:r>
          </w:p>
        </w:tc>
        <w:tc>
          <w:tcPr/>
          <w:p>
            <w:pPr>
              <w:pStyle w:val="Compact"/>
            </w:pPr>
            <w:r>
              <w:t xml:space="preserve">Base</w:t>
            </w:r>
          </w:p>
        </w:tc>
        <w:tc>
          <w:tcPr/>
          <w:p>
            <w:pPr>
              <w:pStyle w:val="Compact"/>
            </w:pPr>
            <w:r>
              <w:t xml:space="preserve">$407.76</w:t>
            </w:r>
          </w:p>
        </w:tc>
        <w:tc>
          <w:tcPr/>
          <w:p>
            <w:pPr>
              <w:pStyle w:val="Compact"/>
            </w:pPr>
            <w:r>
              <w:t xml:space="preserve">-41.3%</w:t>
            </w:r>
          </w:p>
        </w:tc>
      </w:tr>
      <w:tr>
        <w:tc>
          <w:tcPr/>
          <w:p>
            <w:pPr>
              <w:pStyle w:val="Compact"/>
            </w:pPr>
            <w:r>
              <w:t xml:space="preserve">8Q</w:t>
            </w:r>
          </w:p>
        </w:tc>
        <w:tc>
          <w:tcPr/>
          <w:p>
            <w:pPr>
              <w:pStyle w:val="Compact"/>
            </w:pPr>
            <w:r>
              <w:t xml:space="preserve">Bull</w:t>
            </w:r>
          </w:p>
        </w:tc>
        <w:tc>
          <w:tcPr/>
          <w:p>
            <w:pPr>
              <w:pStyle w:val="Compact"/>
            </w:pPr>
            <w:r>
              <w:t xml:space="preserve">$725.29</w:t>
            </w:r>
          </w:p>
        </w:tc>
        <w:tc>
          <w:tcPr/>
          <w:p>
            <w:pPr>
              <w:pStyle w:val="Compact"/>
            </w:pPr>
            <w:r>
              <w:t xml:space="preserve">4.4%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39.3x</w:t>
            </w:r>
          </w:p>
        </w:tc>
      </w:tr>
      <w:tr>
        <w:tc>
          <w:tcPr/>
          <w:p>
            <w:pPr>
              <w:pStyle w:val="Compact"/>
            </w:pPr>
            <w:r>
              <w:t xml:space="preserve">4Q</w:t>
            </w:r>
          </w:p>
        </w:tc>
        <w:tc>
          <w:tcPr/>
          <w:p>
            <w:pPr>
              <w:pStyle w:val="Compact"/>
            </w:pPr>
            <w:r>
              <w:t xml:space="preserve">37.3x</w:t>
            </w:r>
          </w:p>
        </w:tc>
      </w:tr>
      <w:tr>
        <w:tc>
          <w:tcPr/>
          <w:p>
            <w:pPr>
              <w:pStyle w:val="Compact"/>
            </w:pPr>
            <w:r>
              <w:t xml:space="preserve">6Q</w:t>
            </w:r>
          </w:p>
        </w:tc>
        <w:tc>
          <w:tcPr/>
          <w:p>
            <w:pPr>
              <w:pStyle w:val="Compact"/>
            </w:pPr>
            <w:r>
              <w:t xml:space="preserve">35.4x</w:t>
            </w:r>
          </w:p>
        </w:tc>
      </w:tr>
      <w:tr>
        <w:tc>
          <w:tcPr/>
          <w:p>
            <w:pPr>
              <w:pStyle w:val="Compact"/>
            </w:pPr>
            <w:r>
              <w:t xml:space="preserve">8Q</w:t>
            </w:r>
          </w:p>
        </w:tc>
        <w:tc>
          <w:tcPr/>
          <w:p>
            <w:pPr>
              <w:pStyle w:val="Compact"/>
            </w:pPr>
            <w:r>
              <w:t xml:space="preserve">33.5x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7.7%</w:t>
            </w:r>
          </w:p>
        </w:tc>
        <w:tc>
          <w:tcPr/>
          <w:p>
            <w:pPr>
              <w:pStyle w:val="Compact"/>
            </w:pPr>
            <w:r>
              <w:t xml:space="preserve">4.8%</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$100.26</w:t>
            </w:r>
          </w:p>
        </w:tc>
        <w:tc>
          <w:tcPr/>
          <w:p>
            <w:pPr>
              <w:pStyle w:val="Compact"/>
            </w:pPr>
            <w:r>
              <w:t xml:space="preserve">-85.6%</w:t>
            </w:r>
          </w:p>
        </w:tc>
      </w:tr>
      <w:tr>
        <w:tc>
          <w:tcPr/>
          <w:p>
            <w:pPr>
              <w:pStyle w:val="Compact"/>
            </w:pPr>
            <w:r>
              <w:t xml:space="preserve">Base</w:t>
            </w:r>
          </w:p>
        </w:tc>
        <w:tc>
          <w:tcPr/>
          <w:p>
            <w:pPr>
              <w:pStyle w:val="Compact"/>
            </w:pPr>
            <w:r>
              <w:t xml:space="preserve">15.5%</w:t>
            </w:r>
          </w:p>
        </w:tc>
        <w:tc>
          <w:tcPr/>
          <w:p>
            <w:pPr>
              <w:pStyle w:val="Compact"/>
            </w:pPr>
            <w:r>
              <w:t xml:space="preserve">6.0%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$222.43</w:t>
            </w:r>
          </w:p>
        </w:tc>
        <w:tc>
          <w:tcPr/>
          <w:p>
            <w:pPr>
              <w:pStyle w:val="Compact"/>
            </w:pPr>
            <w:r>
              <w:t xml:space="preserve">-68.0%</w:t>
            </w:r>
          </w:p>
        </w:tc>
      </w:tr>
      <w:tr>
        <w:tc>
          <w:tcPr/>
          <w:p>
            <w:pPr>
              <w:pStyle w:val="Compact"/>
            </w:pPr>
            <w:r>
              <w:t xml:space="preserve">Bull</w:t>
            </w:r>
          </w:p>
        </w:tc>
        <w:tc>
          <w:tcPr/>
          <w:p>
            <w:pPr>
              <w:pStyle w:val="Compact"/>
            </w:pPr>
            <w:r>
              <w:t xml:space="preserve">20.1%</w:t>
            </w:r>
          </w:p>
        </w:tc>
        <w:tc>
          <w:tcPr/>
          <w:p>
            <w:pPr>
              <w:pStyle w:val="Compact"/>
            </w:pPr>
            <w:r>
              <w:t xml:space="preserve">6.9%</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$358.74</w:t>
            </w:r>
          </w:p>
        </w:tc>
        <w:tc>
          <w:tcPr/>
          <w:p>
            <w:pPr>
              <w:pStyle w:val="Compact"/>
            </w:pPr>
            <w:r>
              <w:t xml:space="preserve">-48.4%</w:t>
            </w:r>
          </w:p>
        </w:tc>
      </w:tr>
    </w:tbl>
    <w:p>
      <w:pPr>
        <w:pStyle w:val="BodyText"/>
      </w:pPr>
      <w:r>
        <w:rPr>
          <w:rFonts w:hint="eastAsia"/>
        </w:rPr>
        <w:t xml:space="preserve">概率加权价值</w:t>
      </w:r>
      <w:r>
        <w:t xml:space="preserve"> </w:t>
      </w:r>
      <w:r>
        <w:rPr>
          <w:b/>
          <w:bCs/>
        </w:rPr>
        <w:t xml:space="preserve">$225.97</w:t>
      </w:r>
      <w:r>
        <w:rPr>
          <w:rFonts w:hint="eastAsia"/>
        </w:rPr>
        <w:t xml:space="preserve">（相对现价</w:t>
      </w:r>
      <w:r>
        <w:t xml:space="preserve"> </w:t>
      </w:r>
      <w:r>
        <w:rPr>
          <w:rFonts w:hint="eastAsia"/>
        </w:rPr>
        <w:t xml:space="preserve">-67.5%）。</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39.5 bn </w:t>
      </w:r>
      <w:r>
        <w:rPr>
          <w:rFonts w:hint="eastAsia"/>
        </w:rPr>
        <w:t xml:space="preserve">USD；终值占比</w:t>
      </w:r>
      <w:r>
        <w:t xml:space="preserve"> 48.4%。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44.0%</w:t>
      </w:r>
      <w:r>
        <w:rPr>
          <w:rFonts w:hint="eastAsia"/>
        </w:rPr>
        <w:t xml:space="preserve">；一致预期FY+1增速</w:t>
      </w:r>
      <w:r>
        <w:t xml:space="preserve"> 15.5%。</w:t>
      </w:r>
    </w:p>
    <w:p>
      <w:pPr>
        <w:numPr>
          <w:ilvl w:val="0"/>
          <w:numId w:val="1005"/>
        </w:numPr>
      </w:pPr>
      <w:r>
        <w:t xml:space="preserve">WACC (CAPM) = rf 5.2% + β 1.27 × ERP 5.0% = 11.6%。</w:t>
      </w:r>
    </w:p>
    <w:p>
      <w:pPr>
        <w:numPr>
          <w:ilvl w:val="0"/>
          <w:numId w:val="1005"/>
        </w:numPr>
      </w:pPr>
      <w:r>
        <w:t xml:space="preserve">SOTP segments </w:t>
      </w:r>
      <w:r>
        <w:rPr>
          <w:rFonts w:hint="eastAsia"/>
        </w:rPr>
        <w:t xml:space="preserve">分部:</w:t>
      </w:r>
      <w:r>
        <w:t xml:space="preserve">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PWR | 104.5 bn USD | 3.4x | 35.1x | 41.1% | 15.5% | 2.3% |</w:t>
      </w:r>
      <w:r>
        <w:t xml:space="preserve"> </w:t>
      </w:r>
      <w:r>
        <w:t xml:space="preserve">| EME | 34.4 bn USD | 1.8x | 21.2x | 19.8% | 19.4% | 2.8% |</w:t>
      </w:r>
      <w:r>
        <w:t xml:space="preserve"> </w:t>
      </w:r>
      <w:r>
        <w:t xml:space="preserve">| MTZ | 16.6 bn USD | 1.2x | 16.7x | 23.4% | 12.9% | -0.3% |</w:t>
      </w:r>
      <w:r>
        <w:t xml:space="preserve"> </w:t>
      </w:r>
      <w:r>
        <w:t xml:space="preserve">| MYRG | 4.9 bn USD | 1.2x | 21.5x | 20.1% | 12.5% | 3.6% |</w:t>
      </w:r>
      <w:r>
        <w:t xml:space="preserve"> </w:t>
      </w:r>
      <w:r>
        <w:t xml:space="preserve">| 267260.KS | 20,155.9 bn USD | 4.6x | 16.7x | 26.0% | 34.7% | 3.0%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Permitting delays; renewable policy </w:t>
      </w:r>
      <w:r>
        <w:rPr>
          <w:rFonts w:hint="eastAsia"/>
        </w:rPr>
        <w:t xml:space="preserve">reversal｜审批延迟；可再生政策逆转</w:t>
      </w:r>
    </w:p>
    <w:p>
      <w:pPr>
        <w:pStyle w:val="Compact"/>
        <w:numPr>
          <w:ilvl w:val="0"/>
          <w:numId w:val="1006"/>
        </w:numPr>
      </w:pPr>
      <w:r>
        <w:rPr>
          <w:rFonts w:hint="eastAsia"/>
        </w:rPr>
        <w:t xml:space="preserve">证伪指标:</w:t>
      </w:r>
      <w:r>
        <w:t xml:space="preserve"> Backlog growth stalls; utility capex </w:t>
      </w:r>
      <w:r>
        <w:rPr>
          <w:rFonts w:hint="eastAsia"/>
        </w:rPr>
        <w:t xml:space="preserve">cut｜积压停滞；电力Capex下修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694.8</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1.045e+11</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5.064e+08</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6.603e+09</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3.291e+10</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2.391e+09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1.267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0.3894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0.1546</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0.1546</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0.07267</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PWR_model_v20261013-1622.xlsx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W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W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W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W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W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c817e87a38f481301e5107e4f2c93a46ab4dee8"/>
    <w:p>
      <w:pPr>
        <w:pStyle w:val="Heading1"/>
      </w:pPr>
      <w:r>
        <w:t xml:space="preserve">PWR Quanta Services, Inc. — Equity Deep Dive (Professional English) v20261013-1622</w:t>
      </w:r>
    </w:p>
    <w:p>
      <w:pPr>
        <w:pStyle w:val="BlockText"/>
      </w:pPr>
      <w:r>
        <w:t xml:space="preserve">Data as of 2026-10-13 16:22 SGT | Price $694.79 | Mkt cap 104.5 bn USD | Reporting currency USD | Not investment advice.</w:t>
      </w:r>
    </w:p>
    <w:bookmarkStart w:id="39" w:name="investment-thesis-hypothesis"/>
    <w:p>
      <w:pPr>
        <w:pStyle w:val="Heading2"/>
      </w:pPr>
      <w:r>
        <w:t xml:space="preserve">1. Investment thesis (HYPOTHESIS)</w:t>
      </w:r>
    </w:p>
    <w:p>
      <w:pPr>
        <w:pStyle w:val="FirstParagraph"/>
      </w:pPr>
      <w:r>
        <w:t xml:space="preserve">Quanta is the labor-bottleneck leader in the</w:t>
      </w:r>
      <w:r>
        <w:t xml:space="preserve"> </w:t>
      </w:r>
      <w:r>
        <w:t xml:space="preserve">‘AI → power demand → grid investment’</w:t>
      </w:r>
      <w:r>
        <w:t xml:space="preserve"> </w:t>
      </w:r>
      <w:r>
        <w:t xml:space="preserve">chain; utility capex plans are the leading indicator.</w:t>
      </w:r>
    </w:p>
    <w:p>
      <w:pPr>
        <w:pStyle w:val="Compact"/>
        <w:numPr>
          <w:ilvl w:val="0"/>
          <w:numId w:val="1009"/>
        </w:numPr>
      </w:pPr>
      <w:r>
        <w:rPr>
          <w:b/>
          <w:bCs/>
        </w:rPr>
        <w:t xml:space="preserve">Bull drivers</w:t>
      </w:r>
      <w:r>
        <w:t xml:space="preserve">: Utility capex plans raised; large transmission </w:t>
      </w:r>
      <w:r>
        <w:rPr>
          <w:rFonts w:hint="eastAsia"/>
        </w:rPr>
        <w:t xml:space="preserve">awards｜电力公司上调Capex；大型输电项目</w:t>
      </w:r>
    </w:p>
    <w:p>
      <w:pPr>
        <w:pStyle w:val="Compact"/>
        <w:numPr>
          <w:ilvl w:val="0"/>
          <w:numId w:val="1009"/>
        </w:numPr>
      </w:pPr>
      <w:r>
        <w:rPr>
          <w:b/>
          <w:bCs/>
        </w:rPr>
        <w:t xml:space="preserve">Bear drivers</w:t>
      </w:r>
      <w:r>
        <w:t xml:space="preserve">: Permitting delays; renewable policy </w:t>
      </w:r>
      <w:r>
        <w:rPr>
          <w:rFonts w:hint="eastAsia"/>
        </w:rPr>
        <w:t xml:space="preserve">reversal｜审批延迟；可再生政策逆转</w:t>
      </w:r>
    </w:p>
    <w:p>
      <w:pPr>
        <w:pStyle w:val="Compact"/>
        <w:numPr>
          <w:ilvl w:val="0"/>
          <w:numId w:val="1009"/>
        </w:numPr>
      </w:pPr>
      <w:r>
        <w:rPr>
          <w:b/>
          <w:bCs/>
        </w:rPr>
        <w:t xml:space="preserve">Falsifiers</w:t>
      </w:r>
      <w:r>
        <w:t xml:space="preserve">: Backlog growth stalls; utility capex </w:t>
      </w:r>
      <w:r>
        <w:rPr>
          <w:rFonts w:hint="eastAsia"/>
        </w:rPr>
        <w:t xml:space="preserve">cut｜积压停滞；电力Capex下修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Power grid / utility infrastructure </w:t>
      </w:r>
      <w:r>
        <w:rPr>
          <w:rFonts w:hint="eastAsia"/>
        </w:rPr>
        <w:t xml:space="preserve">电网基建</w:t>
      </w:r>
      <w:r>
        <w:t xml:space="preserve"> |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p>
    <w:p>
      <w:pPr>
        <w:pStyle w:val="Compact"/>
        <w:numPr>
          <w:ilvl w:val="0"/>
          <w:numId w:val="1010"/>
        </w:numPr>
      </w:pPr>
      <w:r>
        <w:t xml:space="preserve">Business description (DATA):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10"/>
        </w:numPr>
      </w:pPr>
      <w:r>
        <w:t xml:space="preserve">Customers: Utilities, hyperscalers (via utilities), renewable </w:t>
      </w:r>
      <w:r>
        <w:rPr>
          <w:rFonts w:hint="eastAsia"/>
        </w:rPr>
        <w:t xml:space="preserve">developers｜电力公司、云厂、可再生开发商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Labor (linemen), transformers, </w:t>
      </w:r>
      <w:r>
        <w:rPr>
          <w:rFonts w:hint="eastAsia"/>
        </w:rPr>
        <w:t xml:space="preserve">cable｜线路工人、变压器、电缆</w:t>
      </w:r>
    </w:p>
    <w:p>
      <w:pPr>
        <w:pStyle w:val="Compact"/>
        <w:numPr>
          <w:ilvl w:val="0"/>
          <w:numId w:val="1011"/>
        </w:numPr>
      </w:pPr>
      <w:r>
        <w:t xml:space="preserve">Competitors: MasTec, MYR, Primoris, utility in-house </w:t>
      </w:r>
      <w:r>
        <w:rPr>
          <w:rFonts w:hint="eastAsia"/>
        </w:rPr>
        <w:t xml:space="preserve">crews｜MasTec、MYR、Primoris</w:t>
      </w:r>
    </w:p>
    <w:p>
      <w:pPr>
        <w:pStyle w:val="Compact"/>
        <w:numPr>
          <w:ilvl w:val="0"/>
          <w:numId w:val="1011"/>
        </w:numPr>
      </w:pPr>
      <w:r>
        <w:t xml:space="preserve">Bottlenecks/regulation: Interconnection queues, transformer lead times, skilled </w:t>
      </w:r>
      <w:r>
        <w:rPr>
          <w:rFonts w:hint="eastAsia"/>
        </w:rPr>
        <w:t xml:space="preserve">labor｜并网排队、变压器交期、技工</w:t>
      </w:r>
    </w:p>
    <w:p>
      <w:pPr>
        <w:pStyle w:val="Compact"/>
        <w:numPr>
          <w:ilvl w:val="0"/>
          <w:numId w:val="1011"/>
        </w:numPr>
      </w:pPr>
      <w:r>
        <w:t xml:space="preserve">KPIs: Backlog, adj. EBITDA margin, electric segment </w:t>
      </w:r>
      <w:r>
        <w:rPr>
          <w:rFonts w:hint="eastAsia"/>
        </w:rPr>
        <w:t xml:space="preserve">growth｜积压订单、调整后EBITDA利润率、电力业务增速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t xml:space="preserve">Cash 0.5 bn USD; debt 6.6 bn USD; TTM FCF 2.4 bn USD (FCF margin 7.3%).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4.99112 (21 analysts); revenue consensus 10.9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$187.61</w:t>
            </w:r>
          </w:p>
        </w:tc>
        <w:tc>
          <w:tcPr/>
          <w:p>
            <w:pPr>
              <w:pStyle w:val="Compact"/>
            </w:pPr>
            <w:r>
              <w:t xml:space="preserve">-73.0%</w:t>
            </w:r>
          </w:p>
        </w:tc>
      </w:tr>
      <w:tr>
        <w:tc>
          <w:tcPr/>
          <w:p>
            <w:pPr>
              <w:pStyle w:val="Compact"/>
            </w:pPr>
            <w:r>
              <w:t xml:space="preserve">2Q</w:t>
            </w:r>
          </w:p>
        </w:tc>
        <w:tc>
          <w:tcPr/>
          <w:p>
            <w:pPr>
              <w:pStyle w:val="Compact"/>
            </w:pPr>
            <w:r>
              <w:t xml:space="preserve">Base</w:t>
            </w:r>
          </w:p>
        </w:tc>
        <w:tc>
          <w:tcPr/>
          <w:p>
            <w:pPr>
              <w:pStyle w:val="Compact"/>
            </w:pPr>
            <w:r>
              <w:t xml:space="preserve">$404.23</w:t>
            </w:r>
          </w:p>
        </w:tc>
        <w:tc>
          <w:tcPr/>
          <w:p>
            <w:pPr>
              <w:pStyle w:val="Compact"/>
            </w:pPr>
            <w:r>
              <w:t xml:space="preserve">-41.8%</w:t>
            </w:r>
          </w:p>
        </w:tc>
      </w:tr>
      <w:tr>
        <w:tc>
          <w:tcPr/>
          <w:p>
            <w:pPr>
              <w:pStyle w:val="Compact"/>
            </w:pPr>
            <w:r>
              <w:t xml:space="preserve">2Q</w:t>
            </w:r>
          </w:p>
        </w:tc>
        <w:tc>
          <w:tcPr/>
          <w:p>
            <w:pPr>
              <w:pStyle w:val="Compact"/>
            </w:pPr>
            <w:r>
              <w:t xml:space="preserve">Bull</w:t>
            </w:r>
          </w:p>
        </w:tc>
        <w:tc>
          <w:tcPr/>
          <w:p>
            <w:pPr>
              <w:pStyle w:val="Compact"/>
            </w:pPr>
            <w:r>
              <w:t xml:space="preserve">$646.22</w:t>
            </w:r>
          </w:p>
        </w:tc>
        <w:tc>
          <w:tcPr/>
          <w:p>
            <w:pPr>
              <w:pStyle w:val="Compact"/>
            </w:pPr>
            <w:r>
              <w:t xml:space="preserve">-7.0%</w:t>
            </w:r>
          </w:p>
        </w:tc>
      </w:tr>
      <w:tr>
        <w:tc>
          <w:tcPr/>
          <w:p>
            <w:pPr>
              <w:pStyle w:val="Compact"/>
            </w:pPr>
            <w:r>
              <w:t xml:space="preserve">4Q</w:t>
            </w:r>
          </w:p>
        </w:tc>
        <w:tc>
          <w:tcPr/>
          <w:p>
            <w:pPr>
              <w:pStyle w:val="Compact"/>
            </w:pPr>
            <w:r>
              <w:t xml:space="preserve">Bear</w:t>
            </w:r>
          </w:p>
        </w:tc>
        <w:tc>
          <w:tcPr/>
          <w:p>
            <w:pPr>
              <w:pStyle w:val="Compact"/>
            </w:pPr>
            <w:r>
              <w:t xml:space="preserve">$176.56</w:t>
            </w:r>
          </w:p>
        </w:tc>
        <w:tc>
          <w:tcPr/>
          <w:p>
            <w:pPr>
              <w:pStyle w:val="Compact"/>
            </w:pPr>
            <w:r>
              <w:t xml:space="preserve">-74.6%</w:t>
            </w:r>
          </w:p>
        </w:tc>
      </w:tr>
      <w:tr>
        <w:tc>
          <w:tcPr/>
          <w:p>
            <w:pPr>
              <w:pStyle w:val="Compact"/>
            </w:pPr>
            <w:r>
              <w:t xml:space="preserve">4Q</w:t>
            </w:r>
          </w:p>
        </w:tc>
        <w:tc>
          <w:tcPr/>
          <w:p>
            <w:pPr>
              <w:pStyle w:val="Compact"/>
            </w:pPr>
            <w:r>
              <w:t xml:space="preserve">Base</w:t>
            </w:r>
          </w:p>
        </w:tc>
        <w:tc>
          <w:tcPr/>
          <w:p>
            <w:pPr>
              <w:pStyle w:val="Compact"/>
            </w:pPr>
            <w:r>
              <w:t xml:space="preserve">$405.67</w:t>
            </w:r>
          </w:p>
        </w:tc>
        <w:tc>
          <w:tcPr/>
          <w:p>
            <w:pPr>
              <w:pStyle w:val="Compact"/>
            </w:pPr>
            <w:r>
              <w:t xml:space="preserve">-41.6%</w:t>
            </w:r>
          </w:p>
        </w:tc>
      </w:tr>
      <w:tr>
        <w:tc>
          <w:tcPr/>
          <w:p>
            <w:pPr>
              <w:pStyle w:val="Compact"/>
            </w:pPr>
            <w:r>
              <w:t xml:space="preserve">4Q</w:t>
            </w:r>
          </w:p>
        </w:tc>
        <w:tc>
          <w:tcPr/>
          <w:p>
            <w:pPr>
              <w:pStyle w:val="Compact"/>
            </w:pPr>
            <w:r>
              <w:t xml:space="preserve">Bull</w:t>
            </w:r>
          </w:p>
        </w:tc>
        <w:tc>
          <w:tcPr/>
          <w:p>
            <w:pPr>
              <w:pStyle w:val="Compact"/>
            </w:pPr>
            <w:r>
              <w:t xml:space="preserve">$671.87</w:t>
            </w:r>
          </w:p>
        </w:tc>
        <w:tc>
          <w:tcPr/>
          <w:p>
            <w:pPr>
              <w:pStyle w:val="Compact"/>
            </w:pPr>
            <w:r>
              <w:t xml:space="preserve">-3.3%</w:t>
            </w:r>
          </w:p>
        </w:tc>
      </w:tr>
      <w:tr>
        <w:tc>
          <w:tcPr/>
          <w:p>
            <w:pPr>
              <w:pStyle w:val="Compact"/>
            </w:pPr>
            <w:r>
              <w:t xml:space="preserve">6Q</w:t>
            </w:r>
          </w:p>
        </w:tc>
        <w:tc>
          <w:tcPr/>
          <w:p>
            <w:pPr>
              <w:pStyle w:val="Compact"/>
            </w:pPr>
            <w:r>
              <w:t xml:space="preserve">Bear</w:t>
            </w:r>
          </w:p>
        </w:tc>
        <w:tc>
          <w:tcPr/>
          <w:p>
            <w:pPr>
              <w:pStyle w:val="Compact"/>
            </w:pPr>
            <w:r>
              <w:t xml:space="preserve">$165.86</w:t>
            </w:r>
          </w:p>
        </w:tc>
        <w:tc>
          <w:tcPr/>
          <w:p>
            <w:pPr>
              <w:pStyle w:val="Compact"/>
            </w:pPr>
            <w:r>
              <w:t xml:space="preserve">-76.1%</w:t>
            </w:r>
          </w:p>
        </w:tc>
      </w:tr>
      <w:tr>
        <w:tc>
          <w:tcPr/>
          <w:p>
            <w:pPr>
              <w:pStyle w:val="Compact"/>
            </w:pPr>
            <w:r>
              <w:t xml:space="preserve">6Q</w:t>
            </w:r>
          </w:p>
        </w:tc>
        <w:tc>
          <w:tcPr/>
          <w:p>
            <w:pPr>
              <w:pStyle w:val="Compact"/>
            </w:pPr>
            <w:r>
              <w:t xml:space="preserve">Base</w:t>
            </w:r>
          </w:p>
        </w:tc>
        <w:tc>
          <w:tcPr/>
          <w:p>
            <w:pPr>
              <w:pStyle w:val="Compact"/>
            </w:pPr>
            <w:r>
              <w:t xml:space="preserve">$406.85</w:t>
            </w:r>
          </w:p>
        </w:tc>
        <w:tc>
          <w:tcPr/>
          <w:p>
            <w:pPr>
              <w:pStyle w:val="Compact"/>
            </w:pPr>
            <w:r>
              <w:t xml:space="preserve">-41.4%</w:t>
            </w:r>
          </w:p>
        </w:tc>
      </w:tr>
      <w:tr>
        <w:tc>
          <w:tcPr/>
          <w:p>
            <w:pPr>
              <w:pStyle w:val="Compact"/>
            </w:pPr>
            <w:r>
              <w:t xml:space="preserve">6Q</w:t>
            </w:r>
          </w:p>
        </w:tc>
        <w:tc>
          <w:tcPr/>
          <w:p>
            <w:pPr>
              <w:pStyle w:val="Compact"/>
            </w:pPr>
            <w:r>
              <w:t xml:space="preserve">Bull</w:t>
            </w:r>
          </w:p>
        </w:tc>
        <w:tc>
          <w:tcPr/>
          <w:p>
            <w:pPr>
              <w:pStyle w:val="Compact"/>
            </w:pPr>
            <w:r>
              <w:t xml:space="preserve">$698.21</w:t>
            </w:r>
          </w:p>
        </w:tc>
        <w:tc>
          <w:tcPr/>
          <w:p>
            <w:pPr>
              <w:pStyle w:val="Compact"/>
            </w:pPr>
            <w:r>
              <w:t xml:space="preserve">0.5%</w:t>
            </w:r>
          </w:p>
        </w:tc>
      </w:tr>
      <w:tr>
        <w:tc>
          <w:tcPr/>
          <w:p>
            <w:pPr>
              <w:pStyle w:val="Compact"/>
            </w:pPr>
            <w:r>
              <w:t xml:space="preserve">8Q</w:t>
            </w:r>
          </w:p>
        </w:tc>
        <w:tc>
          <w:tcPr/>
          <w:p>
            <w:pPr>
              <w:pStyle w:val="Compact"/>
            </w:pPr>
            <w:r>
              <w:t xml:space="preserve">Bear</w:t>
            </w:r>
          </w:p>
        </w:tc>
        <w:tc>
          <w:tcPr/>
          <w:p>
            <w:pPr>
              <w:pStyle w:val="Compact"/>
            </w:pPr>
            <w:r>
              <w:t xml:space="preserve">$155.48</w:t>
            </w:r>
          </w:p>
        </w:tc>
        <w:tc>
          <w:tcPr/>
          <w:p>
            <w:pPr>
              <w:pStyle w:val="Compact"/>
            </w:pPr>
            <w:r>
              <w:t xml:space="preserve">-77.6%</w:t>
            </w:r>
          </w:p>
        </w:tc>
      </w:tr>
      <w:tr>
        <w:tc>
          <w:tcPr/>
          <w:p>
            <w:pPr>
              <w:pStyle w:val="Compact"/>
            </w:pPr>
            <w:r>
              <w:t xml:space="preserve">8Q</w:t>
            </w:r>
          </w:p>
        </w:tc>
        <w:tc>
          <w:tcPr/>
          <w:p>
            <w:pPr>
              <w:pStyle w:val="Compact"/>
            </w:pPr>
            <w:r>
              <w:t xml:space="preserve">Base</w:t>
            </w:r>
          </w:p>
        </w:tc>
        <w:tc>
          <w:tcPr/>
          <w:p>
            <w:pPr>
              <w:pStyle w:val="Compact"/>
            </w:pPr>
            <w:r>
              <w:t xml:space="preserve">$407.76</w:t>
            </w:r>
          </w:p>
        </w:tc>
        <w:tc>
          <w:tcPr/>
          <w:p>
            <w:pPr>
              <w:pStyle w:val="Compact"/>
            </w:pPr>
            <w:r>
              <w:t xml:space="preserve">-41.3%</w:t>
            </w:r>
          </w:p>
        </w:tc>
      </w:tr>
      <w:tr>
        <w:tc>
          <w:tcPr/>
          <w:p>
            <w:pPr>
              <w:pStyle w:val="Compact"/>
            </w:pPr>
            <w:r>
              <w:t xml:space="preserve">8Q</w:t>
            </w:r>
          </w:p>
        </w:tc>
        <w:tc>
          <w:tcPr/>
          <w:p>
            <w:pPr>
              <w:pStyle w:val="Compact"/>
            </w:pPr>
            <w:r>
              <w:t xml:space="preserve">Bull</w:t>
            </w:r>
          </w:p>
        </w:tc>
        <w:tc>
          <w:tcPr/>
          <w:p>
            <w:pPr>
              <w:pStyle w:val="Compact"/>
            </w:pPr>
            <w:r>
              <w:t xml:space="preserve">$725.29</w:t>
            </w:r>
          </w:p>
        </w:tc>
        <w:tc>
          <w:tcPr/>
          <w:p>
            <w:pPr>
              <w:pStyle w:val="Compact"/>
            </w:pPr>
            <w:r>
              <w:t xml:space="preserve">4.4%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39.3x</w:t>
            </w:r>
          </w:p>
        </w:tc>
      </w:tr>
      <w:tr>
        <w:tc>
          <w:tcPr/>
          <w:p>
            <w:pPr>
              <w:pStyle w:val="Compact"/>
            </w:pPr>
            <w:r>
              <w:t xml:space="preserve">4Q</w:t>
            </w:r>
          </w:p>
        </w:tc>
        <w:tc>
          <w:tcPr/>
          <w:p>
            <w:pPr>
              <w:pStyle w:val="Compact"/>
            </w:pPr>
            <w:r>
              <w:t xml:space="preserve">37.3x</w:t>
            </w:r>
          </w:p>
        </w:tc>
      </w:tr>
      <w:tr>
        <w:tc>
          <w:tcPr/>
          <w:p>
            <w:pPr>
              <w:pStyle w:val="Compact"/>
            </w:pPr>
            <w:r>
              <w:t xml:space="preserve">6Q</w:t>
            </w:r>
          </w:p>
        </w:tc>
        <w:tc>
          <w:tcPr/>
          <w:p>
            <w:pPr>
              <w:pStyle w:val="Compact"/>
            </w:pPr>
            <w:r>
              <w:t xml:space="preserve">35.4x</w:t>
            </w:r>
          </w:p>
        </w:tc>
      </w:tr>
      <w:tr>
        <w:tc>
          <w:tcPr/>
          <w:p>
            <w:pPr>
              <w:pStyle w:val="Compact"/>
            </w:pPr>
            <w:r>
              <w:t xml:space="preserve">8Q</w:t>
            </w:r>
          </w:p>
        </w:tc>
        <w:tc>
          <w:tcPr/>
          <w:p>
            <w:pPr>
              <w:pStyle w:val="Compact"/>
            </w:pPr>
            <w:r>
              <w:t xml:space="preserve">33.5x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7.7%</w:t>
            </w:r>
          </w:p>
        </w:tc>
        <w:tc>
          <w:tcPr/>
          <w:p>
            <w:pPr>
              <w:pStyle w:val="Compact"/>
            </w:pPr>
            <w:r>
              <w:t xml:space="preserve">4.8%</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$100.26</w:t>
            </w:r>
          </w:p>
        </w:tc>
        <w:tc>
          <w:tcPr/>
          <w:p>
            <w:pPr>
              <w:pStyle w:val="Compact"/>
            </w:pPr>
            <w:r>
              <w:t xml:space="preserve">-85.6%</w:t>
            </w:r>
          </w:p>
        </w:tc>
      </w:tr>
      <w:tr>
        <w:tc>
          <w:tcPr/>
          <w:p>
            <w:pPr>
              <w:pStyle w:val="Compact"/>
            </w:pPr>
            <w:r>
              <w:t xml:space="preserve">Base</w:t>
            </w:r>
          </w:p>
        </w:tc>
        <w:tc>
          <w:tcPr/>
          <w:p>
            <w:pPr>
              <w:pStyle w:val="Compact"/>
            </w:pPr>
            <w:r>
              <w:t xml:space="preserve">15.5%</w:t>
            </w:r>
          </w:p>
        </w:tc>
        <w:tc>
          <w:tcPr/>
          <w:p>
            <w:pPr>
              <w:pStyle w:val="Compact"/>
            </w:pPr>
            <w:r>
              <w:t xml:space="preserve">6.0%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$222.43</w:t>
            </w:r>
          </w:p>
        </w:tc>
        <w:tc>
          <w:tcPr/>
          <w:p>
            <w:pPr>
              <w:pStyle w:val="Compact"/>
            </w:pPr>
            <w:r>
              <w:t xml:space="preserve">-68.0%</w:t>
            </w:r>
          </w:p>
        </w:tc>
      </w:tr>
      <w:tr>
        <w:tc>
          <w:tcPr/>
          <w:p>
            <w:pPr>
              <w:pStyle w:val="Compact"/>
            </w:pPr>
            <w:r>
              <w:t xml:space="preserve">Bull</w:t>
            </w:r>
          </w:p>
        </w:tc>
        <w:tc>
          <w:tcPr/>
          <w:p>
            <w:pPr>
              <w:pStyle w:val="Compact"/>
            </w:pPr>
            <w:r>
              <w:t xml:space="preserve">20.1%</w:t>
            </w:r>
          </w:p>
        </w:tc>
        <w:tc>
          <w:tcPr/>
          <w:p>
            <w:pPr>
              <w:pStyle w:val="Compact"/>
            </w:pPr>
            <w:r>
              <w:t xml:space="preserve">6.9%</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$358.74</w:t>
            </w:r>
          </w:p>
        </w:tc>
        <w:tc>
          <w:tcPr/>
          <w:p>
            <w:pPr>
              <w:pStyle w:val="Compact"/>
            </w:pPr>
            <w:r>
              <w:t xml:space="preserve">-48.4%</w:t>
            </w:r>
          </w:p>
        </w:tc>
      </w:tr>
    </w:tbl>
    <w:p>
      <w:pPr>
        <w:pStyle w:val="BodyText"/>
      </w:pPr>
      <w:r>
        <w:t xml:space="preserve">Probability-weighted value</w:t>
      </w:r>
      <w:r>
        <w:t xml:space="preserve"> </w:t>
      </w:r>
      <w:r>
        <w:rPr>
          <w:b/>
          <w:bCs/>
        </w:rPr>
        <w:t xml:space="preserve">$225.97</w:t>
      </w:r>
      <w:r>
        <w:t xml:space="preserve"> </w:t>
      </w:r>
      <w:r>
        <w:t xml:space="preserve">(-67.5%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39.5 bn USD; terminal share 48.4%.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44.0%</w:t>
      </w:r>
      <w:r>
        <w:t xml:space="preserve"> </w:t>
      </w:r>
      <w:r>
        <w:t xml:space="preserve">vs consensus FY+1 15.5%.</w:t>
      </w:r>
    </w:p>
    <w:p>
      <w:pPr>
        <w:pStyle w:val="Compact"/>
        <w:numPr>
          <w:ilvl w:val="0"/>
          <w:numId w:val="1013"/>
        </w:numPr>
      </w:pPr>
      <w:r>
        <w:t xml:space="preserve">WACC (CAPM) = rf 5.2% + β 1.27 × ERP 5.0% = 11.6%.</w:t>
      </w:r>
    </w:p>
    <w:p>
      <w:pPr>
        <w:pStyle w:val="Compact"/>
        <w:numPr>
          <w:ilvl w:val="0"/>
          <w:numId w:val="1013"/>
        </w:numPr>
      </w:pPr>
      <w:r>
        <w:t xml:space="preserve">SOTP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Permitting delays; renewable policy </w:t>
      </w:r>
      <w:r>
        <w:rPr>
          <w:rFonts w:hint="eastAsia"/>
        </w:rPr>
        <w:t xml:space="preserve">reversal｜审批延迟；可再生政策逆转</w:t>
      </w:r>
      <w:r>
        <w:t xml:space="preserve"> | Falsifiers: Backlog growth stalls; utility capex </w:t>
      </w:r>
      <w:r>
        <w:rPr>
          <w:rFonts w:hint="eastAsia"/>
        </w:rPr>
        <w:t xml:space="preserve">cut｜积压停滞；电力Capex下修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PWR_model_v20261013-1622.xlsx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2026-10-13T08:24:54Z</dcterms:created>
  <dcterms:modified xsi:type="dcterms:W3CDTF">2026-10-13T08:24:54Z</dcterms:modified>
</cp:coreProperties>
</file>

<file path=docProps/custom.xml><?xml version="1.0" encoding="utf-8"?>
<Properties xmlns="http://schemas.openxmlformats.org/officeDocument/2006/custom-properties" xmlns:vt="http://schemas.openxmlformats.org/officeDocument/2006/docPropsVTypes"/>
</file>