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30418572ed23e3482da8bebd799cb7f9160f897"/>
    <w:p>
      <w:pPr>
        <w:pStyle w:val="Heading1"/>
      </w:pPr>
      <w:r>
        <w:rPr>
          <w:rFonts w:hint="eastAsia"/>
        </w:rPr>
        <w:t xml:space="preserve">宏观与跨资产专题</w:t>
      </w:r>
      <w:r>
        <w:t xml:space="preserve"> Macro &amp; Cross-Asset Special v20261013-1812</w:t>
      </w:r>
    </w:p>
    <w:p>
      <w:pPr>
        <w:pStyle w:val="BlockText"/>
      </w:pPr>
      <w:r>
        <w:rPr>
          <w:rFonts w:hint="eastAsia"/>
        </w:rPr>
        <w:t xml:space="preserve">数据快照</w:t>
      </w:r>
      <w:r>
        <w:t xml:space="preserve"> 20261013-1812 </w:t>
      </w:r>
      <w:r>
        <w:rPr>
          <w:rFonts w:hint="eastAsia"/>
        </w:rPr>
        <w:t xml:space="preserve">(SGT)。来源:</w:t>
      </w:r>
      <w:r>
        <w:t xml:space="preserve"> FRED、Yahoo </w:t>
      </w:r>
      <w:r>
        <w:rPr>
          <w:rFonts w:hint="eastAsia"/>
        </w:rPr>
        <w:t xml:space="preserve">Finance。非投资建议。</w:t>
      </w:r>
    </w:p>
    <w:bookmarkStart w:id="9" w:name="结论摘要-inference"/>
    <w:p>
      <w:pPr>
        <w:pStyle w:val="Heading2"/>
      </w:pPr>
      <w:r>
        <w:t xml:space="preserve">1. </w:t>
      </w:r>
      <w:r>
        <w:rPr>
          <w:rFonts w:hint="eastAsia"/>
        </w:rPr>
        <w:t xml:space="preserve">结论摘要</w:t>
      </w:r>
      <w:r>
        <w:t xml:space="preserve"> (INFERENCE)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通胀:</w:t>
      </w:r>
      <w:r>
        <w:t xml:space="preserve"> CPI </w:t>
      </w:r>
      <w:r>
        <w:rPr>
          <w:rFonts w:hint="eastAsia"/>
        </w:rPr>
        <w:t xml:space="preserve">同比</w:t>
      </w:r>
      <w:r>
        <w:t xml:space="preserve"> +3.4% </w:t>
      </w:r>
      <w:r>
        <w:rPr>
          <w:rFonts w:hint="eastAsia"/>
        </w:rPr>
        <w:t xml:space="preserve">(2026-08-01)，核心CPI</w:t>
      </w:r>
      <w:r>
        <w:t xml:space="preserve"> </w:t>
      </w:r>
      <w:r>
        <w:rPr>
          <w:rFonts w:hint="eastAsia"/>
        </w:rPr>
        <w:t xml:space="preserve">+2.4%，核心PCE</w:t>
      </w:r>
      <w:r>
        <w:t xml:space="preserve"> +3.0% </w:t>
      </w:r>
      <w:r>
        <w:rPr>
          <w:rFonts w:hint="eastAsia"/>
        </w:rPr>
        <w:t xml:space="preserve">(2026-08-01)——仍高于2%目标。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政策利率上限</w:t>
      </w:r>
      <w:r>
        <w:t xml:space="preserve"> 4.0% </w:t>
      </w:r>
      <w:r>
        <w:rPr>
          <w:rFonts w:hint="eastAsia"/>
        </w:rPr>
        <w:t xml:space="preserve">(2026-10-12)；10Y</w:t>
      </w:r>
      <w:r>
        <w:t xml:space="preserve"> </w:t>
      </w:r>
      <w:r>
        <w:rPr>
          <w:rFonts w:hint="eastAsia"/>
        </w:rPr>
        <w:t xml:space="preserve">5.22%；10Y实际利率</w:t>
      </w:r>
      <w:r>
        <w:t xml:space="preserve"> </w:t>
      </w:r>
      <w:r>
        <w:rPr>
          <w:rFonts w:hint="eastAsia"/>
        </w:rPr>
        <w:t xml:space="preserve">2.87%；2s10s</w:t>
      </w:r>
      <w:r>
        <w:t xml:space="preserve"> 0.44%。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美元净流动性代理</w:t>
      </w:r>
      <w:r>
        <w:t xml:space="preserve"> ≈ 5,867 bn USD (WALCL−RRP−TGA)。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套息压力</w:t>
      </w:r>
      <w:r>
        <w:t xml:space="preserve"> Carry Stress:</w:t>
      </w:r>
      <w:r>
        <w:t xml:space="preserve"> </w:t>
      </w:r>
      <w:r>
        <w:rPr>
          <w:b/>
          <w:bCs/>
        </w:rPr>
        <w:t xml:space="preserve">CALM</w:t>
      </w:r>
      <w:r>
        <w:t xml:space="preserve"> </w:t>
      </w:r>
      <w:r>
        <w:t xml:space="preserve">(USD/JPY </w:t>
      </w:r>
      <w:r>
        <w:rPr>
          <w:rFonts w:hint="eastAsia"/>
        </w:rPr>
        <w:t xml:space="preserve">1个月</w:t>
      </w:r>
      <w:r>
        <w:t xml:space="preserve"> </w:t>
      </w:r>
      <w:r>
        <w:rPr>
          <w:rFonts w:hint="eastAsia"/>
        </w:rPr>
        <w:t xml:space="preserve">+2.4%，VIX</w:t>
      </w:r>
      <w:r>
        <w:t xml:space="preserve"> 15.3)。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高收益利差</w:t>
      </w:r>
      <w:r>
        <w:t xml:space="preserve"> HY OAS </w:t>
      </w:r>
      <w:r>
        <w:rPr>
          <w:rFonts w:hint="eastAsia"/>
        </w:rPr>
        <w:t xml:space="preserve">3.15%；芝加哥金融条件指数</w:t>
      </w:r>
      <w:r>
        <w:t xml:space="preserve"> NFCI </w:t>
      </w:r>
      <w:r>
        <w:rPr>
          <w:rFonts w:hint="eastAsia"/>
        </w:rPr>
        <w:t xml:space="preserve">-0.494（负=宽松）。</w:t>
      </w:r>
    </w:p>
    <w:bookmarkEnd w:id="9"/>
    <w:bookmarkStart w:id="10" w:name="传导链-transmission-chain"/>
    <w:p>
      <w:pPr>
        <w:pStyle w:val="Heading2"/>
      </w:pPr>
      <w:r>
        <w:t xml:space="preserve">2. </w:t>
      </w:r>
      <w:r>
        <w:rPr>
          <w:rFonts w:hint="eastAsia"/>
        </w:rPr>
        <w:t xml:space="preserve">传导链</w:t>
      </w:r>
      <w:r>
        <w:t xml:space="preserve"> Transmission chain</w:t>
      </w:r>
    </w:p>
    <w:p>
      <w:pPr>
        <w:pStyle w:val="FirstParagraph"/>
      </w:pPr>
      <w:r>
        <w:rPr>
          <w:rFonts w:hint="eastAsia"/>
        </w:rPr>
        <w:t xml:space="preserve">通胀/就业</w:t>
      </w:r>
      <w:r>
        <w:t xml:space="preserve"> → FOMC </w:t>
      </w:r>
      <w:r>
        <w:rPr>
          <w:rFonts w:hint="eastAsia"/>
        </w:rPr>
        <w:t xml:space="preserve">反应函数</w:t>
      </w:r>
      <w:r>
        <w:t xml:space="preserve"> → 2Y → </w:t>
      </w:r>
      <w:r>
        <w:rPr>
          <w:rFonts w:hint="eastAsia"/>
        </w:rPr>
        <w:t xml:space="preserve">10Y(含期限溢价/财政)</w:t>
      </w:r>
      <w:r>
        <w:t xml:space="preserve"> → </w:t>
      </w:r>
      <w:r>
        <w:rPr>
          <w:rFonts w:hint="eastAsia"/>
        </w:rPr>
        <w:t xml:space="preserve">实际利率</w:t>
      </w:r>
      <w:r>
        <w:t xml:space="preserve"> → WACC → </w:t>
      </w:r>
      <w:r>
        <w:rPr>
          <w:rFonts w:hint="eastAsia"/>
        </w:rPr>
        <w:t xml:space="preserve">成长股估值倍数；BOJ</w:t>
      </w:r>
      <w:r>
        <w:t xml:space="preserve"> → JGB → USD/JPY </w:t>
      </w:r>
      <w:r>
        <w:rPr>
          <w:rFonts w:hint="eastAsia"/>
        </w:rPr>
        <w:t xml:space="preserve">速度</w:t>
      </w:r>
      <w:r>
        <w:t xml:space="preserve"> → </w:t>
      </w:r>
      <w:r>
        <w:rPr>
          <w:rFonts w:hint="eastAsia"/>
        </w:rPr>
        <w:t xml:space="preserve">套息平仓</w:t>
      </w:r>
      <w:r>
        <w:t xml:space="preserve"> → </w:t>
      </w:r>
      <w:r>
        <w:rPr>
          <w:rFonts w:hint="eastAsia"/>
        </w:rPr>
        <w:t xml:space="preserve">全球流动性。</w:t>
      </w:r>
    </w:p>
    <w:bookmarkEnd w:id="10"/>
    <w:bookmarkStart w:id="11" w:name="市场心理与资金-证据要求"/>
    <w:p>
      <w:pPr>
        <w:pStyle w:val="Heading2"/>
      </w:pPr>
      <w:r>
        <w:t xml:space="preserve">3. </w:t>
      </w:r>
      <w:r>
        <w:rPr>
          <w:rFonts w:hint="eastAsia"/>
        </w:rPr>
        <w:t xml:space="preserve">市场心理与资金</w:t>
      </w:r>
      <w:r>
        <w:t xml:space="preserve"> </w:t>
      </w:r>
      <w:r>
        <w:rPr>
          <w:rFonts w:hint="eastAsia"/>
        </w:rPr>
        <w:t xml:space="preserve">(证据要求)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本版可用证据:</w:t>
      </w:r>
      <w:r>
        <w:t xml:space="preserve"> </w:t>
      </w:r>
      <w:r>
        <w:rPr>
          <w:rFonts w:hint="eastAsia"/>
        </w:rPr>
        <w:t xml:space="preserve">跨资产价格(见热力图)、VIX、信用利差。CFTC持仓/基金经理调查/期权偏度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（未接入），因此不对”机构定位”作断言。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反身性观察:</w:t>
      </w:r>
      <w:r>
        <w:t xml:space="preserve"> </w:t>
      </w:r>
      <w:r>
        <w:rPr>
          <w:rFonts w:hint="eastAsia"/>
        </w:rPr>
        <w:t xml:space="preserve">若AI龙头上涨同时HYG下跌</w:t>
      </w:r>
      <w:r>
        <w:t xml:space="preserve"> → </w:t>
      </w:r>
      <w:r>
        <w:rPr>
          <w:rFonts w:hint="eastAsia"/>
        </w:rPr>
        <w:t xml:space="preserve">脆弱的风险偏好。</w:t>
      </w:r>
    </w:p>
    <w:bookmarkEnd w:id="11"/>
    <w:bookmarkStart w:id="12" w:name="ai-生产率-通胀-fed-专题框架"/>
    <w:p>
      <w:pPr>
        <w:pStyle w:val="Heading2"/>
      </w:pPr>
      <w:r>
        <w:t xml:space="preserve">4. AI </w:t>
      </w:r>
      <w:r>
        <w:rPr>
          <w:rFonts w:hint="eastAsia"/>
        </w:rPr>
        <w:t xml:space="preserve">生产率</w:t>
      </w:r>
      <w:r>
        <w:t xml:space="preserve"> → </w:t>
      </w:r>
      <w:r>
        <w:rPr>
          <w:rFonts w:hint="eastAsia"/>
        </w:rPr>
        <w:t xml:space="preserve">通胀</w:t>
      </w:r>
      <w:r>
        <w:t xml:space="preserve"> → Fed </w:t>
      </w:r>
      <w:r>
        <w:rPr>
          <w:rFonts w:hint="eastAsia"/>
        </w:rPr>
        <w:t xml:space="preserve">(专题框架)</w:t>
      </w:r>
    </w:p>
    <w:p>
      <w:pPr>
        <w:pStyle w:val="FirstParagraph"/>
      </w:pPr>
      <w:r>
        <w:t xml:space="preserve">AI Capex ↑ → </w:t>
      </w:r>
      <w:r>
        <w:rPr>
          <w:rFonts w:hint="eastAsia"/>
        </w:rPr>
        <w:t xml:space="preserve">生产率</w:t>
      </w:r>
      <w:r>
        <w:t xml:space="preserve"> ↑ → </w:t>
      </w:r>
      <w:r>
        <w:rPr>
          <w:rFonts w:hint="eastAsia"/>
        </w:rPr>
        <w:t xml:space="preserve">单位劳动成本</w:t>
      </w:r>
      <w:r>
        <w:t xml:space="preserve"> ULC ↓ → </w:t>
      </w:r>
      <w:r>
        <w:rPr>
          <w:rFonts w:hint="eastAsia"/>
        </w:rPr>
        <w:t xml:space="preserve">核心通胀</w:t>
      </w:r>
      <w:r>
        <w:t xml:space="preserve"> ↓ → Fed </w:t>
      </w:r>
      <w:r>
        <w:rPr>
          <w:rFonts w:hint="eastAsia"/>
        </w:rPr>
        <w:t xml:space="preserve">更鸽</w:t>
      </w:r>
      <w:r>
        <w:t xml:space="preserve"> </w:t>
      </w:r>
      <w:r>
        <w:rPr>
          <w:rFonts w:hint="eastAsia"/>
        </w:rPr>
        <w:t xml:space="preserve">(鸽派路径)；或</w:t>
      </w:r>
      <w:r>
        <w:t xml:space="preserve"> AI Capex ↑ → </w:t>
      </w:r>
      <w:r>
        <w:rPr>
          <w:rFonts w:hint="eastAsia"/>
        </w:rPr>
        <w:t xml:space="preserve">电力/建设/芯片需求过热</w:t>
      </w:r>
      <w:r>
        <w:t xml:space="preserve"> → </w:t>
      </w:r>
      <w:r>
        <w:rPr>
          <w:rFonts w:hint="eastAsia"/>
        </w:rPr>
        <w:t xml:space="preserve">通胀</w:t>
      </w:r>
      <w:r>
        <w:t xml:space="preserve"> ↑ → Fed </w:t>
      </w:r>
      <w:r>
        <w:rPr>
          <w:rFonts w:hint="eastAsia"/>
        </w:rPr>
        <w:t xml:space="preserve">更鹰</w:t>
      </w:r>
      <w:r>
        <w:t xml:space="preserve"> </w:t>
      </w:r>
      <w:r>
        <w:rPr>
          <w:rFonts w:hint="eastAsia"/>
        </w:rPr>
        <w:t xml:space="preserve">(过热路径)。证据:</w:t>
      </w:r>
      <w:r>
        <w:t xml:space="preserve"> 11/5 </w:t>
      </w:r>
      <w:r>
        <w:rPr>
          <w:rFonts w:hint="eastAsia"/>
        </w:rPr>
        <w:t xml:space="preserve">生产率与成本(BLS,</w:t>
      </w:r>
      <w:r>
        <w:t xml:space="preserve"> CONFIRMED)、ECI 10/30。</w:t>
      </w:r>
    </w:p>
    <w:bookmarkEnd w:id="12"/>
    <w:bookmarkStart w:id="13" w:name="跨资产表-data"/>
    <w:p>
      <w:pPr>
        <w:pStyle w:val="Heading2"/>
      </w:pPr>
      <w:r>
        <w:t xml:space="preserve">5. </w:t>
      </w:r>
      <w:r>
        <w:rPr>
          <w:rFonts w:hint="eastAsia"/>
        </w:rPr>
        <w:t xml:space="preserve">跨资产表</w:t>
      </w:r>
      <w:r>
        <w:t xml:space="preserve"> (DATA)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</w:pPr>
            <w:r>
              <w:t xml:space="preserve">1Y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S&amp;P 500</w:t>
            </w:r>
          </w:p>
        </w:tc>
        <w:tc>
          <w:tcPr/>
          <w:p>
            <w:pPr>
              <w:pStyle w:val="Compact"/>
            </w:pPr>
            <w:r>
              <w:t xml:space="preserve">^GSPC</w:t>
            </w:r>
          </w:p>
        </w:tc>
        <w:tc>
          <w:tcPr/>
          <w:p>
            <w:pPr>
              <w:pStyle w:val="Compact"/>
            </w:pPr>
            <w:r>
              <w:t xml:space="preserve">7,807.240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-0.1%</w:t>
            </w:r>
          </w:p>
        </w:tc>
        <w:tc>
          <w:tcPr/>
          <w:p>
            <w:pPr>
              <w:pStyle w:val="Compact"/>
            </w:pPr>
            <w:r>
              <w:t xml:space="preserve">+0.4%</w:t>
            </w:r>
          </w:p>
        </w:tc>
        <w:tc>
          <w:tcPr/>
          <w:p>
            <w:pPr>
              <w:pStyle w:val="Compact"/>
            </w:pPr>
            <w:r>
              <w:t xml:space="preserve">+2.0%</w:t>
            </w:r>
          </w:p>
        </w:tc>
        <w:tc>
          <w:tcPr/>
          <w:p>
            <w:pPr>
              <w:pStyle w:val="Compact"/>
            </w:pPr>
            <w:r>
              <w:t xml:space="preserve">+15.9%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Nasdaq-100</w:t>
            </w:r>
          </w:p>
        </w:tc>
        <w:tc>
          <w:tcPr/>
          <w:p>
            <w:pPr>
              <w:pStyle w:val="Compact"/>
            </w:pPr>
            <w:r>
              <w:t xml:space="preserve">^NDX</w:t>
            </w:r>
          </w:p>
        </w:tc>
        <w:tc>
          <w:tcPr/>
          <w:p>
            <w:pPr>
              <w:pStyle w:val="Compact"/>
            </w:pPr>
            <w:r>
              <w:t xml:space="preserve">30,664.699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-0.7%</w:t>
            </w:r>
          </w:p>
        </w:tc>
        <w:tc>
          <w:tcPr/>
          <w:p>
            <w:pPr>
              <w:pStyle w:val="Compact"/>
            </w:pPr>
            <w:r>
              <w:t xml:space="preserve">-1.3%</w:t>
            </w:r>
          </w:p>
        </w:tc>
        <w:tc>
          <w:tcPr/>
          <w:p>
            <w:pPr>
              <w:pStyle w:val="Compact"/>
            </w:pPr>
            <w:r>
              <w:t xml:space="preserve">+4.4%</w:t>
            </w:r>
          </w:p>
        </w:tc>
        <w:tc>
          <w:tcPr/>
          <w:p>
            <w:pPr>
              <w:pStyle w:val="Compact"/>
            </w:pPr>
            <w:r>
              <w:t xml:space="preserve">+22.2%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PHLX </w:t>
            </w:r>
            <w:r>
              <w:rPr>
                <w:rFonts w:hint="eastAsia"/>
              </w:rPr>
              <w:t xml:space="preserve">Semiconductor｜费城半导体</w:t>
            </w:r>
          </w:p>
        </w:tc>
        <w:tc>
          <w:tcPr/>
          <w:p>
            <w:pPr>
              <w:pStyle w:val="Compact"/>
            </w:pPr>
            <w:r>
              <w:t xml:space="preserve">^SOX</w:t>
            </w:r>
          </w:p>
        </w:tc>
        <w:tc>
          <w:tcPr/>
          <w:p>
            <w:pPr>
              <w:pStyle w:val="Compact"/>
            </w:pPr>
            <w:r>
              <w:t xml:space="preserve">12,236.790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-2.7%</w:t>
            </w:r>
          </w:p>
        </w:tc>
        <w:tc>
          <w:tcPr/>
          <w:p>
            <w:pPr>
              <w:pStyle w:val="Compact"/>
            </w:pPr>
            <w:r>
              <w:t xml:space="preserve">-7.1%</w:t>
            </w:r>
          </w:p>
        </w:tc>
        <w:tc>
          <w:tcPr/>
          <w:p>
            <w:pPr>
              <w:pStyle w:val="Compact"/>
            </w:pPr>
            <w:r>
              <w:t xml:space="preserve">+3.5%</w:t>
            </w:r>
          </w:p>
        </w:tc>
        <w:tc>
          <w:tcPr/>
          <w:p>
            <w:pPr>
              <w:pStyle w:val="Compact"/>
            </w:pPr>
            <w:r>
              <w:t xml:space="preserve">+78.9%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 </w:t>
            </w:r>
            <w:r>
              <w:rPr>
                <w:rFonts w:hint="eastAsia"/>
              </w:rPr>
              <w:t xml:space="preserve">波动率</w:t>
            </w:r>
          </w:p>
        </w:tc>
        <w:tc>
          <w:tcPr/>
          <w:p>
            <w:pPr>
              <w:pStyle w:val="Compact"/>
            </w:pPr>
            <w:r>
              <w:t xml:space="preserve">^VIX</w:t>
            </w:r>
          </w:p>
        </w:tc>
        <w:tc>
          <w:tcPr/>
          <w:p>
            <w:pPr>
              <w:pStyle w:val="Compact"/>
            </w:pPr>
            <w:r>
              <w:t xml:space="preserve">15.290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+0.5%</w:t>
            </w:r>
          </w:p>
        </w:tc>
        <w:tc>
          <w:tcPr/>
          <w:p>
            <w:pPr>
              <w:pStyle w:val="Compact"/>
            </w:pPr>
            <w:r>
              <w:t xml:space="preserve">+1.9%</w:t>
            </w:r>
          </w:p>
        </w:tc>
        <w:tc>
          <w:tcPr/>
          <w:p>
            <w:pPr>
              <w:pStyle w:val="Compact"/>
            </w:pPr>
            <w:r>
              <w:t xml:space="preserve">-10.6%</w:t>
            </w:r>
          </w:p>
        </w:tc>
        <w:tc>
          <w:tcPr/>
          <w:p>
            <w:pPr>
              <w:pStyle w:val="Compact"/>
            </w:pPr>
            <w:r>
              <w:t xml:space="preserve">-26.5%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13W T-Bill</w:t>
            </w:r>
          </w:p>
        </w:tc>
        <w:tc>
          <w:tcPr/>
          <w:p>
            <w:pPr>
              <w:pStyle w:val="Compact"/>
            </w:pPr>
            <w:r>
              <w:t xml:space="preserve">^IRX</w:t>
            </w:r>
          </w:p>
        </w:tc>
        <w:tc>
          <w:tcPr/>
          <w:p>
            <w:pPr>
              <w:pStyle w:val="Compact"/>
            </w:pPr>
            <w:r>
              <w:t xml:space="preserve">4.050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+0.8%</w:t>
            </w:r>
          </w:p>
        </w:tc>
        <w:tc>
          <w:tcPr/>
          <w:p>
            <w:pPr>
              <w:pStyle w:val="Compact"/>
            </w:pPr>
            <w:r>
              <w:t xml:space="preserve">+3.5%</w:t>
            </w:r>
          </w:p>
        </w:tc>
        <w:tc>
          <w:tcPr/>
          <w:p>
            <w:pPr>
              <w:pStyle w:val="Compact"/>
            </w:pPr>
            <w:r>
              <w:t xml:space="preserve">+5.1%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5Y UST</w:t>
            </w:r>
          </w:p>
        </w:tc>
        <w:tc>
          <w:tcPr/>
          <w:p>
            <w:pPr>
              <w:pStyle w:val="Compact"/>
            </w:pPr>
            <w:r>
              <w:t xml:space="preserve">^FVX</w:t>
            </w:r>
          </w:p>
        </w:tc>
        <w:tc>
          <w:tcPr/>
          <w:p>
            <w:pPr>
              <w:pStyle w:val="Compact"/>
            </w:pPr>
            <w:r>
              <w:t xml:space="preserve">5.019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-0.0%</w:t>
            </w:r>
          </w:p>
        </w:tc>
        <w:tc>
          <w:tcPr/>
          <w:p>
            <w:pPr>
              <w:pStyle w:val="Compact"/>
            </w:pPr>
            <w:r>
              <w:t xml:space="preserve">-0.9%</w:t>
            </w:r>
          </w:p>
        </w:tc>
        <w:tc>
          <w:tcPr/>
          <w:p>
            <w:pPr>
              <w:pStyle w:val="Compact"/>
            </w:pPr>
            <w:r>
              <w:t xml:space="preserve">+4.8%</w:t>
            </w:r>
          </w:p>
        </w:tc>
        <w:tc>
          <w:tcPr/>
          <w:p>
            <w:pPr>
              <w:pStyle w:val="Compact"/>
            </w:pPr>
            <w:r>
              <w:t xml:space="preserve">+34.2%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UST </w:t>
            </w:r>
            <w:r>
              <w:rPr>
                <w:rFonts w:hint="eastAsia"/>
              </w:rPr>
              <w:t xml:space="preserve">收益率</w:t>
            </w:r>
          </w:p>
        </w:tc>
        <w:tc>
          <w:tcPr/>
          <w:p>
            <w:pPr>
              <w:pStyle w:val="Compact"/>
            </w:pPr>
            <w:r>
              <w:t xml:space="preserve">^TNX</w:t>
            </w:r>
          </w:p>
        </w:tc>
        <w:tc>
          <w:tcPr/>
          <w:p>
            <w:pPr>
              <w:pStyle w:val="Compact"/>
            </w:pPr>
            <w:r>
              <w:t xml:space="preserve">5.240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-0.1%</w:t>
            </w:r>
          </w:p>
        </w:tc>
        <w:tc>
          <w:tcPr/>
          <w:p>
            <w:pPr>
              <w:pStyle w:val="Compact"/>
            </w:pPr>
            <w:r>
              <w:t xml:space="preserve">-1.3%</w:t>
            </w:r>
          </w:p>
        </w:tc>
        <w:tc>
          <w:tcPr/>
          <w:p>
            <w:pPr>
              <w:pStyle w:val="Compact"/>
            </w:pPr>
            <w:r>
              <w:t xml:space="preserve">+5.3%</w:t>
            </w:r>
          </w:p>
        </w:tc>
        <w:tc>
          <w:tcPr/>
          <w:p>
            <w:pPr>
              <w:pStyle w:val="Compact"/>
            </w:pPr>
            <w:r>
              <w:t xml:space="preserve">+26.3%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30Y UST</w:t>
            </w:r>
          </w:p>
        </w:tc>
        <w:tc>
          <w:tcPr/>
          <w:p>
            <w:pPr>
              <w:pStyle w:val="Compact"/>
            </w:pPr>
            <w:r>
              <w:t xml:space="preserve">^TYX</w:t>
            </w:r>
          </w:p>
        </w:tc>
        <w:tc>
          <w:tcPr/>
          <w:p>
            <w:pPr>
              <w:pStyle w:val="Compact"/>
            </w:pPr>
            <w:r>
              <w:t xml:space="preserve">5.598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-0.0%</w:t>
            </w:r>
          </w:p>
        </w:tc>
        <w:tc>
          <w:tcPr/>
          <w:p>
            <w:pPr>
              <w:pStyle w:val="Compact"/>
            </w:pPr>
            <w:r>
              <w:t xml:space="preserve">-1.2%</w:t>
            </w:r>
          </w:p>
        </w:tc>
        <w:tc>
          <w:tcPr/>
          <w:p>
            <w:pPr>
              <w:pStyle w:val="Compact"/>
            </w:pPr>
            <w:r>
              <w:t xml:space="preserve">+4.6%</w:t>
            </w:r>
          </w:p>
        </w:tc>
        <w:tc>
          <w:tcPr/>
          <w:p>
            <w:pPr>
              <w:pStyle w:val="Compact"/>
            </w:pPr>
            <w:r>
              <w:t xml:space="preserve">+18.3%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DXY </w:t>
            </w:r>
            <w:r>
              <w:rPr>
                <w:rFonts w:hint="eastAsia"/>
              </w:rPr>
              <w:t xml:space="preserve">美元指数</w:t>
            </w:r>
          </w:p>
        </w:tc>
        <w:tc>
          <w:tcPr/>
          <w:p>
            <w:pPr>
              <w:pStyle w:val="Compact"/>
            </w:pPr>
            <w:r>
              <w:t xml:space="preserve">DX-Y.NYB</w:t>
            </w:r>
          </w:p>
        </w:tc>
        <w:tc>
          <w:tcPr/>
          <w:p>
            <w:pPr>
              <w:pStyle w:val="Compact"/>
            </w:pPr>
            <w:r>
              <w:t xml:space="preserve">102.325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+0.5%</w:t>
            </w:r>
          </w:p>
        </w:tc>
        <w:tc>
          <w:tcPr/>
          <w:p>
            <w:pPr>
              <w:pStyle w:val="Compact"/>
            </w:pPr>
            <w:r>
              <w:t xml:space="preserve">+2.9%</w:t>
            </w:r>
          </w:p>
        </w:tc>
        <w:tc>
          <w:tcPr/>
          <w:p>
            <w:pPr>
              <w:pStyle w:val="Compact"/>
            </w:pPr>
            <w:r>
              <w:t xml:space="preserve">+3.4%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USD/JPY </w:t>
            </w:r>
            <w:r>
              <w:rPr>
                <w:rFonts w:hint="eastAsia"/>
              </w:rPr>
              <w:t xml:space="preserve">美元/日元</w:t>
            </w:r>
          </w:p>
        </w:tc>
        <w:tc>
          <w:tcPr/>
          <w:p>
            <w:pPr>
              <w:pStyle w:val="Compact"/>
            </w:pPr>
            <w:r>
              <w:t xml:space="preserve">JPY=X</w:t>
            </w:r>
          </w:p>
        </w:tc>
        <w:tc>
          <w:tcPr/>
          <w:p>
            <w:pPr>
              <w:pStyle w:val="Compact"/>
            </w:pPr>
            <w:r>
              <w:t xml:space="preserve">158.121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+0.0%</w:t>
            </w:r>
          </w:p>
        </w:tc>
        <w:tc>
          <w:tcPr/>
          <w:p>
            <w:pPr>
              <w:pStyle w:val="Compact"/>
            </w:pPr>
            <w:r>
              <w:t xml:space="preserve">+0.2%</w:t>
            </w:r>
          </w:p>
        </w:tc>
        <w:tc>
          <w:tcPr/>
          <w:p>
            <w:pPr>
              <w:pStyle w:val="Compact"/>
            </w:pPr>
            <w:r>
              <w:t xml:space="preserve">+2.4%</w:t>
            </w:r>
          </w:p>
        </w:tc>
        <w:tc>
          <w:tcPr/>
          <w:p>
            <w:pPr>
              <w:pStyle w:val="Compact"/>
            </w:pPr>
            <w:r>
              <w:t xml:space="preserve">+4.9%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EUR/USD</w:t>
            </w:r>
          </w:p>
        </w:tc>
        <w:tc>
          <w:tcPr/>
          <w:p>
            <w:pPr>
              <w:pStyle w:val="Compact"/>
            </w:pPr>
            <w:r>
              <w:t xml:space="preserve">EURUSD=X</w:t>
            </w:r>
          </w:p>
        </w:tc>
        <w:tc>
          <w:tcPr/>
          <w:p>
            <w:pPr>
              <w:pStyle w:val="Compact"/>
            </w:pPr>
            <w:r>
              <w:t xml:space="preserve">1.119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-0.6%</w:t>
            </w:r>
          </w:p>
        </w:tc>
        <w:tc>
          <w:tcPr/>
          <w:p>
            <w:pPr>
              <w:pStyle w:val="Compact"/>
            </w:pPr>
            <w:r>
              <w:t xml:space="preserve">-3.6%</w:t>
            </w:r>
          </w:p>
        </w:tc>
        <w:tc>
          <w:tcPr/>
          <w:p>
            <w:pPr>
              <w:pStyle w:val="Compact"/>
            </w:pPr>
            <w:r>
              <w:t xml:space="preserve">-3.9%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WTI </w:t>
            </w:r>
            <w:r>
              <w:rPr>
                <w:rFonts w:hint="eastAsia"/>
              </w:rPr>
              <w:t xml:space="preserve">原油</w:t>
            </w:r>
          </w:p>
        </w:tc>
        <w:tc>
          <w:tcPr/>
          <w:p>
            <w:pPr>
              <w:pStyle w:val="Compact"/>
            </w:pPr>
            <w:r>
              <w:t xml:space="preserve">CL=F</w:t>
            </w:r>
          </w:p>
        </w:tc>
        <w:tc>
          <w:tcPr/>
          <w:p>
            <w:pPr>
              <w:pStyle w:val="Compact"/>
            </w:pPr>
            <w:r>
              <w:t xml:space="preserve">91.890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-2.0%</w:t>
            </w:r>
          </w:p>
        </w:tc>
        <w:tc>
          <w:tcPr/>
          <w:p>
            <w:pPr>
              <w:pStyle w:val="Compact"/>
            </w:pPr>
            <w:r>
              <w:t xml:space="preserve">+2.7%</w:t>
            </w:r>
          </w:p>
        </w:tc>
        <w:tc>
          <w:tcPr/>
          <w:p>
            <w:pPr>
              <w:pStyle w:val="Compact"/>
            </w:pPr>
            <w:r>
              <w:t xml:space="preserve">-9.4%</w:t>
            </w:r>
          </w:p>
        </w:tc>
        <w:tc>
          <w:tcPr/>
          <w:p>
            <w:pPr>
              <w:pStyle w:val="Compact"/>
            </w:pPr>
            <w:r>
              <w:t xml:space="preserve">+56.0%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</w:t>
            </w:r>
            <w:r>
              <w:rPr>
                <w:rFonts w:hint="eastAsia"/>
              </w:rPr>
              <w:t xml:space="preserve">黄金</w:t>
            </w:r>
          </w:p>
        </w:tc>
        <w:tc>
          <w:tcPr/>
          <w:p>
            <w:pPr>
              <w:pStyle w:val="Compact"/>
            </w:pPr>
            <w:r>
              <w:t xml:space="preserve">GC=F</w:t>
            </w:r>
          </w:p>
        </w:tc>
        <w:tc>
          <w:tcPr/>
          <w:p>
            <w:pPr>
              <w:pStyle w:val="Compact"/>
            </w:pPr>
            <w:r>
              <w:t xml:space="preserve">4,209.200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+0.4%</w:t>
            </w:r>
          </w:p>
        </w:tc>
        <w:tc>
          <w:tcPr/>
          <w:p>
            <w:pPr>
              <w:pStyle w:val="Compact"/>
            </w:pPr>
            <w:r>
              <w:t xml:space="preserve">+0.5%</w:t>
            </w:r>
          </w:p>
        </w:tc>
        <w:tc>
          <w:tcPr/>
          <w:p>
            <w:pPr>
              <w:pStyle w:val="Compact"/>
            </w:pPr>
            <w:r>
              <w:t xml:space="preserve">-3.3%</w:t>
            </w:r>
          </w:p>
        </w:tc>
        <w:tc>
          <w:tcPr/>
          <w:p>
            <w:pPr>
              <w:pStyle w:val="Compact"/>
            </w:pPr>
            <w:r>
              <w:t xml:space="preserve">+5.2%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Copper </w:t>
            </w:r>
            <w:r>
              <w:rPr>
                <w:rFonts w:hint="eastAsia"/>
              </w:rPr>
              <w:t xml:space="preserve">铜</w:t>
            </w:r>
          </w:p>
        </w:tc>
        <w:tc>
          <w:tcPr/>
          <w:p>
            <w:pPr>
              <w:pStyle w:val="Compact"/>
            </w:pPr>
            <w:r>
              <w:t xml:space="preserve">HG=F</w:t>
            </w:r>
          </w:p>
        </w:tc>
        <w:tc>
          <w:tcPr/>
          <w:p>
            <w:pPr>
              <w:pStyle w:val="Compact"/>
            </w:pPr>
            <w:r>
              <w:t xml:space="preserve">6.768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+1.0%</w:t>
            </w:r>
          </w:p>
        </w:tc>
        <w:tc>
          <w:tcPr/>
          <w:p>
            <w:pPr>
              <w:pStyle w:val="Compact"/>
            </w:pPr>
            <w:r>
              <w:t xml:space="preserve">+2.6%</w:t>
            </w:r>
          </w:p>
        </w:tc>
        <w:tc>
          <w:tcPr/>
          <w:p>
            <w:pPr>
              <w:pStyle w:val="Compact"/>
            </w:pPr>
            <w:r>
              <w:t xml:space="preserve">+6.9%</w:t>
            </w:r>
          </w:p>
        </w:tc>
        <w:tc>
          <w:tcPr/>
          <w:p>
            <w:pPr>
              <w:pStyle w:val="Compact"/>
            </w:pPr>
            <w:r>
              <w:t xml:space="preserve">+39.6%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Bitcoin</w:t>
            </w:r>
          </w:p>
        </w:tc>
        <w:tc>
          <w:tcPr/>
          <w:p>
            <w:pPr>
              <w:pStyle w:val="Compact"/>
            </w:pPr>
            <w:r>
              <w:t xml:space="preserve">BTC-USD</w:t>
            </w:r>
          </w:p>
        </w:tc>
        <w:tc>
          <w:tcPr/>
          <w:p>
            <w:pPr>
              <w:pStyle w:val="Compact"/>
            </w:pPr>
            <w:r>
              <w:t xml:space="preserve">83,485.523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+2.1%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-3.1%</w:t>
            </w:r>
          </w:p>
        </w:tc>
        <w:tc>
          <w:tcPr/>
          <w:p>
            <w:pPr>
              <w:pStyle w:val="Compact"/>
            </w:pPr>
            <w:r>
              <w:t xml:space="preserve">+10.4%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Nikkei 225 </w:t>
            </w:r>
            <w:r>
              <w:rPr>
                <w:rFonts w:hint="eastAsia"/>
              </w:rPr>
              <w:t xml:space="preserve">日经</w:t>
            </w:r>
          </w:p>
        </w:tc>
        <w:tc>
          <w:tcPr/>
          <w:p>
            <w:pPr>
              <w:pStyle w:val="Compact"/>
            </w:pPr>
            <w:r>
              <w:t xml:space="preserve">^N225</w:t>
            </w:r>
          </w:p>
        </w:tc>
        <w:tc>
          <w:tcPr/>
          <w:p>
            <w:pPr>
              <w:pStyle w:val="Compact"/>
            </w:pPr>
            <w:r>
              <w:t xml:space="preserve">67,777.523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-1.8%</w:t>
            </w:r>
          </w:p>
        </w:tc>
        <w:tc>
          <w:tcPr/>
          <w:p>
            <w:pPr>
              <w:pStyle w:val="Compact"/>
            </w:pPr>
            <w:r>
              <w:t xml:space="preserve">-3.1%</w:t>
            </w:r>
          </w:p>
        </w:tc>
        <w:tc>
          <w:tcPr/>
          <w:p>
            <w:pPr>
              <w:pStyle w:val="Compact"/>
            </w:pPr>
            <w:r>
              <w:t xml:space="preserve">+3.8%</w:t>
            </w:r>
          </w:p>
        </w:tc>
        <w:tc>
          <w:tcPr/>
          <w:p>
            <w:pPr>
              <w:pStyle w:val="Compact"/>
            </w:pPr>
            <w:r>
              <w:t xml:space="preserve">+49.4%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TAIEX </w:t>
            </w:r>
            <w:r>
              <w:rPr>
                <w:rFonts w:hint="eastAsia"/>
              </w:rPr>
              <w:t xml:space="preserve">台湾加权</w:t>
            </w:r>
          </w:p>
        </w:tc>
        <w:tc>
          <w:tcPr/>
          <w:p>
            <w:pPr>
              <w:pStyle w:val="Compact"/>
            </w:pPr>
            <w:r>
              <w:t xml:space="preserve">^TWII</w:t>
            </w:r>
          </w:p>
        </w:tc>
        <w:tc>
          <w:tcPr/>
          <w:p>
            <w:pPr>
              <w:pStyle w:val="Compact"/>
            </w:pPr>
            <w:r>
              <w:t xml:space="preserve">48,341.309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-1.9%</w:t>
            </w:r>
          </w:p>
        </w:tc>
        <w:tc>
          <w:tcPr/>
          <w:p>
            <w:pPr>
              <w:pStyle w:val="Compact"/>
            </w:pPr>
            <w:r>
              <w:t xml:space="preserve">-2.8%</w:t>
            </w:r>
          </w:p>
        </w:tc>
        <w:tc>
          <w:tcPr/>
          <w:p>
            <w:pPr>
              <w:pStyle w:val="Compact"/>
            </w:pPr>
            <w:r>
              <w:t xml:space="preserve">+2.5%</w:t>
            </w:r>
          </w:p>
        </w:tc>
        <w:tc>
          <w:tcPr/>
          <w:p>
            <w:pPr>
              <w:pStyle w:val="Compact"/>
            </w:pPr>
            <w:r>
              <w:t xml:space="preserve">+84.5%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KOSPI </w:t>
            </w:r>
            <w:r>
              <w:rPr>
                <w:rFonts w:hint="eastAsia"/>
              </w:rPr>
              <w:t xml:space="preserve">韩国综合</w:t>
            </w:r>
          </w:p>
        </w:tc>
        <w:tc>
          <w:tcPr/>
          <w:p>
            <w:pPr>
              <w:pStyle w:val="Compact"/>
            </w:pPr>
            <w:r>
              <w:t xml:space="preserve">^KS11</w:t>
            </w:r>
          </w:p>
        </w:tc>
        <w:tc>
          <w:tcPr/>
          <w:p>
            <w:pPr>
              <w:pStyle w:val="Compact"/>
            </w:pPr>
            <w:r>
              <w:t xml:space="preserve">6,035.350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-5.5%</w:t>
            </w:r>
          </w:p>
        </w:tc>
        <w:tc>
          <w:tcPr/>
          <w:p>
            <w:pPr>
              <w:pStyle w:val="Compact"/>
            </w:pPr>
            <w:r>
              <w:t xml:space="preserve">-13.8%</w:t>
            </w:r>
          </w:p>
        </w:tc>
        <w:tc>
          <w:tcPr/>
          <w:p>
            <w:pPr>
              <w:pStyle w:val="Compact"/>
            </w:pPr>
            <w:r>
              <w:t xml:space="preserve">-13.2%</w:t>
            </w:r>
          </w:p>
        </w:tc>
        <w:tc>
          <w:tcPr/>
          <w:p>
            <w:pPr>
              <w:pStyle w:val="Compact"/>
            </w:pPr>
            <w:r>
              <w:t xml:space="preserve">+73.8%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 Credit ETF </w:t>
            </w:r>
            <w:r>
              <w:rPr>
                <w:rFonts w:hint="eastAsia"/>
              </w:rPr>
              <w:t xml:space="preserve">高收益债</w:t>
            </w:r>
          </w:p>
        </w:tc>
        <w:tc>
          <w:tcPr/>
          <w:p>
            <w:pPr>
              <w:pStyle w:val="Compact"/>
            </w:pPr>
            <w:r>
              <w:t xml:space="preserve">HYG</w:t>
            </w:r>
          </w:p>
        </w:tc>
        <w:tc>
          <w:tcPr/>
          <w:p>
            <w:pPr>
              <w:pStyle w:val="Compact"/>
            </w:pPr>
            <w:r>
              <w:t xml:space="preserve">77.290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  <w:tc>
          <w:tcPr/>
          <w:p>
            <w:pPr>
              <w:pStyle w:val="Compact"/>
            </w:pPr>
            <w:r>
              <w:t xml:space="preserve">+0.4%</w:t>
            </w:r>
          </w:p>
        </w:tc>
        <w:tc>
          <w:tcPr/>
          <w:p>
            <w:pPr>
              <w:pStyle w:val="Compact"/>
            </w:pPr>
            <w:r>
              <w:t xml:space="preserve">-1.2%</w:t>
            </w:r>
          </w:p>
        </w:tc>
        <w:tc>
          <w:tcPr/>
          <w:p>
            <w:pPr>
              <w:pStyle w:val="Compact"/>
            </w:pPr>
            <w:r>
              <w:t xml:space="preserve">+1.9%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20Y+ UST ETF</w:t>
            </w:r>
          </w:p>
        </w:tc>
        <w:tc>
          <w:tcPr/>
          <w:p>
            <w:pPr>
              <w:pStyle w:val="Compact"/>
            </w:pPr>
            <w:r>
              <w:t xml:space="preserve">TLT</w:t>
            </w:r>
          </w:p>
        </w:tc>
        <w:tc>
          <w:tcPr/>
          <w:p>
            <w:pPr>
              <w:pStyle w:val="Compact"/>
            </w:pPr>
            <w:r>
              <w:t xml:space="preserve">78.050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  <w:tc>
          <w:tcPr/>
          <w:p>
            <w:pPr>
              <w:pStyle w:val="Compact"/>
            </w:pPr>
            <w:r>
              <w:t xml:space="preserve">+1.2%</w:t>
            </w:r>
          </w:p>
        </w:tc>
        <w:tc>
          <w:tcPr/>
          <w:p>
            <w:pPr>
              <w:pStyle w:val="Compact"/>
            </w:pPr>
            <w:r>
              <w:t xml:space="preserve">-3.1%</w:t>
            </w:r>
          </w:p>
        </w:tc>
        <w:tc>
          <w:tcPr/>
          <w:p>
            <w:pPr>
              <w:pStyle w:val="Compact"/>
            </w:pPr>
            <w:r>
              <w:t xml:space="preserve">-8.4%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Semis ETF</w:t>
            </w:r>
          </w:p>
        </w:tc>
        <w:tc>
          <w:tcPr/>
          <w:p>
            <w:pPr>
              <w:pStyle w:val="Compact"/>
            </w:pPr>
            <w:r>
              <w:t xml:space="preserve">SMH</w:t>
            </w:r>
          </w:p>
        </w:tc>
        <w:tc>
          <w:tcPr/>
          <w:p>
            <w:pPr>
              <w:pStyle w:val="Compact"/>
            </w:pPr>
            <w:r>
              <w:t xml:space="preserve">590.990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-2.0%</w:t>
            </w:r>
          </w:p>
        </w:tc>
        <w:tc>
          <w:tcPr/>
          <w:p>
            <w:pPr>
              <w:pStyle w:val="Compact"/>
            </w:pPr>
            <w:r>
              <w:t xml:space="preserve">-6.8%</w:t>
            </w:r>
          </w:p>
        </w:tc>
        <w:tc>
          <w:tcPr/>
          <w:p>
            <w:pPr>
              <w:pStyle w:val="Compact"/>
            </w:pPr>
            <w:r>
              <w:t xml:space="preserve">+4.0%</w:t>
            </w:r>
          </w:p>
        </w:tc>
        <w:tc>
          <w:tcPr/>
          <w:p>
            <w:pPr>
              <w:pStyle w:val="Compact"/>
            </w:pPr>
            <w:r>
              <w:t xml:space="preserve">+71.7%</w:t>
            </w:r>
          </w:p>
        </w:tc>
      </w:tr>
    </w:tbl>
    <w:bookmarkEnd w:id="13"/>
    <w:bookmarkStart w:id="14" w:name="fred-宏观表-data"/>
    <w:p>
      <w:pPr>
        <w:pStyle w:val="Heading2"/>
      </w:pPr>
      <w:r>
        <w:t xml:space="preserve">6. FRED </w:t>
      </w:r>
      <w:r>
        <w:rPr>
          <w:rFonts w:hint="eastAsia"/>
        </w:rPr>
        <w:t xml:space="preserve">宏观表</w:t>
      </w:r>
      <w:r>
        <w:t xml:space="preserve"> (DATA)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</w:t>
            </w:r>
          </w:p>
        </w:tc>
        <w:tc>
          <w:tcPr/>
          <w:p>
            <w:pPr>
              <w:pStyle w:val="Compact"/>
            </w:pPr>
            <w:r>
              <w:t xml:space="preserve">CPIAUCSL</w:t>
            </w:r>
          </w:p>
        </w:tc>
        <w:tc>
          <w:tcPr/>
          <w:p>
            <w:pPr>
              <w:pStyle w:val="Compact"/>
            </w:pPr>
            <w:r>
              <w:t xml:space="preserve">334.131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CPI</w:t>
            </w:r>
          </w:p>
        </w:tc>
        <w:tc>
          <w:tcPr/>
          <w:p>
            <w:pPr>
              <w:pStyle w:val="Compact"/>
            </w:pPr>
            <w:r>
              <w:t xml:space="preserve">CPILFESL</w:t>
            </w:r>
          </w:p>
        </w:tc>
        <w:tc>
          <w:tcPr/>
          <w:p>
            <w:pPr>
              <w:pStyle w:val="Compact"/>
            </w:pPr>
            <w:r>
              <w:t xml:space="preserve">337.765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PCE</w:t>
            </w:r>
          </w:p>
        </w:tc>
        <w:tc>
          <w:tcPr/>
          <w:p>
            <w:pPr>
              <w:pStyle w:val="Compact"/>
            </w:pPr>
            <w:r>
              <w:t xml:space="preserve">PCEPILFE</w:t>
            </w:r>
          </w:p>
        </w:tc>
        <w:tc>
          <w:tcPr/>
          <w:p>
            <w:pPr>
              <w:pStyle w:val="Compact"/>
            </w:pPr>
            <w:r>
              <w:t xml:space="preserve">130.455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PPI Final Demand</w:t>
            </w:r>
          </w:p>
        </w:tc>
        <w:tc>
          <w:tcPr/>
          <w:p>
            <w:pPr>
              <w:pStyle w:val="Compact"/>
            </w:pPr>
            <w:r>
              <w:t xml:space="preserve">PPIFIS</w:t>
            </w:r>
          </w:p>
        </w:tc>
        <w:tc>
          <w:tcPr/>
          <w:p>
            <w:pPr>
              <w:pStyle w:val="Compact"/>
            </w:pPr>
            <w:r>
              <w:t xml:space="preserve">157.411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Unemployment Rate</w:t>
            </w:r>
          </w:p>
        </w:tc>
        <w:tc>
          <w:tcPr/>
          <w:p>
            <w:pPr>
              <w:pStyle w:val="Compact"/>
            </w:pPr>
            <w:r>
              <w:t xml:space="preserve">UNRATE</w:t>
            </w:r>
          </w:p>
        </w:tc>
        <w:tc>
          <w:tcPr/>
          <w:p>
            <w:pPr>
              <w:pStyle w:val="Compact"/>
            </w:pPr>
            <w:r>
              <w:t xml:space="preserve">4.200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Nonfarm Payrolls</w:t>
            </w:r>
          </w:p>
        </w:tc>
        <w:tc>
          <w:tcPr/>
          <w:p>
            <w:pPr>
              <w:pStyle w:val="Compact"/>
            </w:pPr>
            <w:r>
              <w:t xml:space="preserve">PAYEMS</w:t>
            </w:r>
          </w:p>
        </w:tc>
        <w:tc>
          <w:tcPr/>
          <w:p>
            <w:pPr>
              <w:pStyle w:val="Compact"/>
            </w:pPr>
            <w:r>
              <w:t xml:space="preserve">159,044.000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AHE</w:t>
            </w:r>
          </w:p>
        </w:tc>
        <w:tc>
          <w:tcPr/>
          <w:p>
            <w:pPr>
              <w:pStyle w:val="Compact"/>
            </w:pPr>
            <w:r>
              <w:t xml:space="preserve">CES0500000003</w:t>
            </w:r>
          </w:p>
        </w:tc>
        <w:tc>
          <w:tcPr/>
          <w:p>
            <w:pPr>
              <w:pStyle w:val="Compact"/>
            </w:pPr>
            <w:r>
              <w:t xml:space="preserve">37.810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Claims</w:t>
            </w:r>
          </w:p>
        </w:tc>
        <w:tc>
          <w:tcPr/>
          <w:p>
            <w:pPr>
              <w:pStyle w:val="Compact"/>
            </w:pPr>
            <w:r>
              <w:t xml:space="preserve">ICSA</w:t>
            </w:r>
          </w:p>
        </w:tc>
        <w:tc>
          <w:tcPr/>
          <w:p>
            <w:pPr>
              <w:pStyle w:val="Compact"/>
            </w:pPr>
            <w:r>
              <w:t xml:space="preserve">197,000.000</w:t>
            </w:r>
          </w:p>
        </w:tc>
        <w:tc>
          <w:tcPr/>
          <w:p>
            <w:pPr>
              <w:pStyle w:val="Compact"/>
            </w:pPr>
            <w:r>
              <w:t xml:space="preserve">2026-10-03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GDP</w:t>
            </w:r>
          </w:p>
        </w:tc>
        <w:tc>
          <w:tcPr/>
          <w:p>
            <w:pPr>
              <w:pStyle w:val="Compact"/>
            </w:pPr>
            <w:r>
              <w:t xml:space="preserve">GDPC1</w:t>
            </w:r>
          </w:p>
        </w:tc>
        <w:tc>
          <w:tcPr/>
          <w:p>
            <w:pPr>
              <w:pStyle w:val="Compact"/>
            </w:pPr>
            <w:r>
              <w:t xml:space="preserve">24,408.011</w:t>
            </w:r>
          </w:p>
        </w:tc>
        <w:tc>
          <w:tcPr/>
          <w:p>
            <w:pPr>
              <w:pStyle w:val="Compact"/>
            </w:pPr>
            <w:r>
              <w:t xml:space="preserve">2026-04-01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 Funds Upper</w:t>
            </w:r>
          </w:p>
        </w:tc>
        <w:tc>
          <w:tcPr/>
          <w:p>
            <w:pPr>
              <w:pStyle w:val="Compact"/>
            </w:pPr>
            <w:r>
              <w:t xml:space="preserve">DFEDTARU</w:t>
            </w:r>
          </w:p>
        </w:tc>
        <w:tc>
          <w:tcPr/>
          <w:p>
            <w:pPr>
              <w:pStyle w:val="Compact"/>
            </w:pPr>
            <w:r>
              <w:t xml:space="preserve">4.000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2Y UST</w:t>
            </w:r>
          </w:p>
        </w:tc>
        <w:tc>
          <w:tcPr/>
          <w:p>
            <w:pPr>
              <w:pStyle w:val="Compact"/>
            </w:pPr>
            <w:r>
              <w:t xml:space="preserve">DGS2</w:t>
            </w:r>
          </w:p>
        </w:tc>
        <w:tc>
          <w:tcPr/>
          <w:p>
            <w:pPr>
              <w:pStyle w:val="Compact"/>
            </w:pPr>
            <w:r>
              <w:t xml:space="preserve">4.750</w:t>
            </w:r>
          </w:p>
        </w:tc>
        <w:tc>
          <w:tcPr/>
          <w:p>
            <w:pPr>
              <w:pStyle w:val="Compact"/>
            </w:pPr>
            <w:r>
              <w:t xml:space="preserve">2026-10-08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UST</w:t>
            </w:r>
          </w:p>
        </w:tc>
        <w:tc>
          <w:tcPr/>
          <w:p>
            <w:pPr>
              <w:pStyle w:val="Compact"/>
            </w:pPr>
            <w:r>
              <w:t xml:space="preserve">DGS10</w:t>
            </w:r>
          </w:p>
        </w:tc>
        <w:tc>
          <w:tcPr/>
          <w:p>
            <w:pPr>
              <w:pStyle w:val="Compact"/>
            </w:pPr>
            <w:r>
              <w:t xml:space="preserve">5.220</w:t>
            </w:r>
          </w:p>
        </w:tc>
        <w:tc>
          <w:tcPr/>
          <w:p>
            <w:pPr>
              <w:pStyle w:val="Compact"/>
            </w:pPr>
            <w:r>
              <w:t xml:space="preserve">2026-10-08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10Y-2Y</w:t>
            </w:r>
          </w:p>
        </w:tc>
        <w:tc>
          <w:tcPr/>
          <w:p>
            <w:pPr>
              <w:pStyle w:val="Compact"/>
            </w:pPr>
            <w:r>
              <w:t xml:space="preserve">T10Y2Y</w:t>
            </w:r>
          </w:p>
        </w:tc>
        <w:tc>
          <w:tcPr/>
          <w:p>
            <w:pPr>
              <w:pStyle w:val="Compact"/>
            </w:pPr>
            <w:r>
              <w:t xml:space="preserve">0.440</w:t>
            </w:r>
          </w:p>
        </w:tc>
        <w:tc>
          <w:tcPr/>
          <w:p>
            <w:pPr>
              <w:pStyle w:val="Compact"/>
            </w:pPr>
            <w:r>
              <w:t xml:space="preserve">2026-10-09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Breakeven</w:t>
            </w:r>
          </w:p>
        </w:tc>
        <w:tc>
          <w:tcPr/>
          <w:p>
            <w:pPr>
              <w:pStyle w:val="Compact"/>
            </w:pPr>
            <w:r>
              <w:t xml:space="preserve">T10YIE</w:t>
            </w:r>
          </w:p>
        </w:tc>
        <w:tc>
          <w:tcPr/>
          <w:p>
            <w:pPr>
              <w:pStyle w:val="Compact"/>
            </w:pPr>
            <w:r>
              <w:t xml:space="preserve">2.330</w:t>
            </w:r>
          </w:p>
        </w:tc>
        <w:tc>
          <w:tcPr/>
          <w:p>
            <w:pPr>
              <w:pStyle w:val="Compact"/>
            </w:pPr>
            <w:r>
              <w:t xml:space="preserve">2026-10-09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Real Yield</w:t>
            </w:r>
          </w:p>
        </w:tc>
        <w:tc>
          <w:tcPr/>
          <w:p>
            <w:pPr>
              <w:pStyle w:val="Compact"/>
            </w:pPr>
            <w:r>
              <w:t xml:space="preserve">DFII10</w:t>
            </w:r>
          </w:p>
        </w:tc>
        <w:tc>
          <w:tcPr/>
          <w:p>
            <w:pPr>
              <w:pStyle w:val="Compact"/>
            </w:pPr>
            <w:r>
              <w:t xml:space="preserve">2.870</w:t>
            </w:r>
          </w:p>
        </w:tc>
        <w:tc>
          <w:tcPr/>
          <w:p>
            <w:pPr>
              <w:pStyle w:val="Compact"/>
            </w:pPr>
            <w:r>
              <w:t xml:space="preserve">2026-10-08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 OAS</w:t>
            </w:r>
          </w:p>
        </w:tc>
        <w:tc>
          <w:tcPr/>
          <w:p>
            <w:pPr>
              <w:pStyle w:val="Compact"/>
            </w:pPr>
            <w:r>
              <w:t xml:space="preserve">BAMLH0A0HYM2</w:t>
            </w:r>
          </w:p>
        </w:tc>
        <w:tc>
          <w:tcPr/>
          <w:p>
            <w:pPr>
              <w:pStyle w:val="Compact"/>
            </w:pPr>
            <w:r>
              <w:t xml:space="preserve">3.150</w:t>
            </w:r>
          </w:p>
        </w:tc>
        <w:tc>
          <w:tcPr/>
          <w:p>
            <w:pPr>
              <w:pStyle w:val="Compact"/>
            </w:pPr>
            <w:r>
              <w:t xml:space="preserve">2026-10-08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 Balance Sheet</w:t>
            </w:r>
          </w:p>
        </w:tc>
        <w:tc>
          <w:tcPr/>
          <w:p>
            <w:pPr>
              <w:pStyle w:val="Compact"/>
            </w:pPr>
            <w:r>
              <w:t xml:space="preserve">WALCL</w:t>
            </w:r>
          </w:p>
        </w:tc>
        <w:tc>
          <w:tcPr/>
          <w:p>
            <w:pPr>
              <w:pStyle w:val="Compact"/>
            </w:pPr>
            <w:r>
              <w:t xml:space="preserve">6,747,560.000</w:t>
            </w:r>
          </w:p>
        </w:tc>
        <w:tc>
          <w:tcPr/>
          <w:p>
            <w:pPr>
              <w:pStyle w:val="Compact"/>
            </w:pPr>
            <w:r>
              <w:t xml:space="preserve">2026-10-07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RRP</w:t>
            </w:r>
          </w:p>
        </w:tc>
        <w:tc>
          <w:tcPr/>
          <w:p>
            <w:pPr>
              <w:pStyle w:val="Compact"/>
            </w:pPr>
            <w:r>
              <w:t xml:space="preserve">RRPONTSYD</w:t>
            </w:r>
          </w:p>
        </w:tc>
        <w:tc>
          <w:tcPr/>
          <w:p>
            <w:pPr>
              <w:pStyle w:val="Compact"/>
            </w:pPr>
            <w:r>
              <w:t xml:space="preserve">0.300</w:t>
            </w:r>
          </w:p>
        </w:tc>
        <w:tc>
          <w:tcPr/>
          <w:p>
            <w:pPr>
              <w:pStyle w:val="Compact"/>
            </w:pPr>
            <w:r>
              <w:t xml:space="preserve">2026-10-09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TGA</w:t>
            </w:r>
          </w:p>
        </w:tc>
        <w:tc>
          <w:tcPr/>
          <w:p>
            <w:pPr>
              <w:pStyle w:val="Compact"/>
            </w:pPr>
            <w:r>
              <w:t xml:space="preserve">WTREGEN</w:t>
            </w:r>
          </w:p>
        </w:tc>
        <w:tc>
          <w:tcPr/>
          <w:p>
            <w:pPr>
              <w:pStyle w:val="Compact"/>
            </w:pPr>
            <w:r>
              <w:t xml:space="preserve">880,253.000</w:t>
            </w:r>
          </w:p>
        </w:tc>
        <w:tc>
          <w:tcPr/>
          <w:p>
            <w:pPr>
              <w:pStyle w:val="Compact"/>
            </w:pPr>
            <w:r>
              <w:t xml:space="preserve">2026-10-07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Chicago NFCI</w:t>
            </w:r>
          </w:p>
        </w:tc>
        <w:tc>
          <w:tcPr/>
          <w:p>
            <w:pPr>
              <w:pStyle w:val="Compact"/>
            </w:pPr>
            <w:r>
              <w:t xml:space="preserve">NFCI</w:t>
            </w:r>
          </w:p>
        </w:tc>
        <w:tc>
          <w:tcPr/>
          <w:p>
            <w:pPr>
              <w:pStyle w:val="Compact"/>
            </w:pPr>
            <w:r>
              <w:t xml:space="preserve">-0.494</w:t>
            </w:r>
          </w:p>
        </w:tc>
        <w:tc>
          <w:tcPr/>
          <w:p>
            <w:pPr>
              <w:pStyle w:val="Compac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Japan 10Y (monthly)</w:t>
            </w:r>
          </w:p>
        </w:tc>
        <w:tc>
          <w:tcPr/>
          <w:p>
            <w:pPr>
              <w:pStyle w:val="Compact"/>
            </w:pPr>
            <w:r>
              <w:t xml:space="preserve">IRLTLT01JPM156N</w:t>
            </w:r>
          </w:p>
        </w:tc>
        <w:tc>
          <w:tcPr/>
          <w:p>
            <w:pPr>
              <w:pStyle w:val="Compact"/>
            </w:pPr>
            <w:r>
              <w:t xml:space="preserve">2.940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</w:tr>
    </w:tbl>
    <w:bookmarkEnd w:id="14"/>
    <w:bookmarkStart w:id="15" w:name="风险与证伪"/>
    <w:p>
      <w:pPr>
        <w:pStyle w:val="Heading2"/>
      </w:pPr>
      <w:r>
        <w:t xml:space="preserve">7. </w:t>
      </w:r>
      <w:r>
        <w:rPr>
          <w:rFonts w:hint="eastAsia"/>
        </w:rPr>
        <w:t xml:space="preserve">风险与证伪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若核心PCE连续3个月月率≤0.2%</w:t>
      </w:r>
      <w:r>
        <w:t xml:space="preserve"> →</w:t>
      </w:r>
      <w:r>
        <w:t xml:space="preserve"> </w:t>
      </w:r>
      <w:r>
        <w:rPr>
          <w:rFonts w:hint="eastAsia"/>
        </w:rPr>
        <w:t xml:space="preserve">“高通胀粘性”</w:t>
      </w:r>
      <w:r>
        <w:rPr>
          <w:rFonts w:hint="eastAsia"/>
        </w:rPr>
        <w:t xml:space="preserve">假设被证伪。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若USD/JPY在1个月内下跌&gt;5%</w:t>
      </w:r>
      <w:r>
        <w:t xml:space="preserve"> → </w:t>
      </w:r>
      <w:r>
        <w:rPr>
          <w:rFonts w:hint="eastAsia"/>
        </w:rPr>
        <w:t xml:space="preserve">套息压力升级、科技股倍数受压。</w:t>
      </w:r>
      <w:r>
        <w:t xml:space="preserve"> </w:t>
      </w:r>
      <w:r>
        <w:t xml:space="preserve">## 8. Source Ledger</w:t>
      </w:r>
      <w:r>
        <w:t xml:space="preserve"> </w:t>
      </w:r>
      <w:r>
        <w:t xml:space="preserve">FRED series IDs as listed (latest observation dates in table); Yahoo Finance daily closes snapshot 20261013-1812.</w:t>
      </w:r>
      <w:r>
        <w:t xml:space="preserve"> </w:t>
      </w:r>
      <w:r>
        <w:t xml:space="preserve">## 9. Assumption Register</w:t>
      </w:r>
      <w:r>
        <w:t xml:space="preserve"> </w:t>
      </w:r>
      <w:r>
        <w:t xml:space="preserve">Carry rule thresholds (ASSUMPTION); net-liquidity proxy definition (METHOD).</w:t>
      </w:r>
    </w:p>
    <w:bookmarkEnd w:id="15"/>
    <w:bookmarkStart w:id="31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1_rates" title="" id="17" name="Picture"/>
            <a:graphic>
              <a:graphicData uri="http://schemas.openxmlformats.org/drawingml/2006/picture">
                <pic:pic>
                  <pic:nvPicPr>
                    <pic:cNvPr descr="images/macro_1_rate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macro_1_rates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2_carry" title="" id="20" name="Picture"/>
            <a:graphic>
              <a:graphicData uri="http://schemas.openxmlformats.org/drawingml/2006/picture">
                <pic:pic>
                  <pic:nvPicPr>
                    <pic:cNvPr descr="images/macro_2_carry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macro_2_carry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3_inflation" title="" id="23" name="Picture"/>
            <a:graphic>
              <a:graphicData uri="http://schemas.openxmlformats.org/drawingml/2006/picture">
                <pic:pic>
                  <pic:nvPicPr>
                    <pic:cNvPr descr="images/macro_3_inflat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macro_3_inflation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4_liquidity" title="" id="26" name="Picture"/>
            <a:graphic>
              <a:graphicData uri="http://schemas.openxmlformats.org/drawingml/2006/picture">
                <pic:pic>
                  <pic:nvPicPr>
                    <pic:cNvPr descr="images/macro_4_liquidit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macro_4_liquidity</w:t>
      </w:r>
    </w:p>
    <w:p>
      <w:pPr>
        <w:pStyle w:val="CaptionedFigure"/>
      </w:pPr>
      <w:r>
        <w:drawing>
          <wp:inline>
            <wp:extent cx="5334000" cy="3555999"/>
            <wp:effectExtent b="0" l="0" r="0" t="0"/>
            <wp:docPr descr="macro_5_crossasset" title="" id="29" name="Picture"/>
            <a:graphic>
              <a:graphicData uri="http://schemas.openxmlformats.org/drawingml/2006/picture">
                <pic:pic>
                  <pic:nvPicPr>
                    <pic:cNvPr descr="images/macro_5_crossasse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macro_5_crossasset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a218b54d83995c196cd45b1c64dcb5db6881cff"/>
    <w:p>
      <w:pPr>
        <w:pStyle w:val="Heading1"/>
      </w:pPr>
      <w:r>
        <w:t xml:space="preserve">Macro &amp; Cross-Asset Special (English) v20261013-1812</w:t>
      </w:r>
    </w:p>
    <w:p>
      <w:pPr>
        <w:pStyle w:val="Compact"/>
        <w:numPr>
          <w:ilvl w:val="0"/>
          <w:numId w:val="1004"/>
        </w:numPr>
      </w:pPr>
      <w:r>
        <w:t xml:space="preserve">Inflation: CPI YoY +3.4%, core CPI +2.4%, core PCE +3.0% — above 2%.</w:t>
      </w:r>
    </w:p>
    <w:p>
      <w:pPr>
        <w:pStyle w:val="Compact"/>
        <w:numPr>
          <w:ilvl w:val="0"/>
          <w:numId w:val="1004"/>
        </w:numPr>
      </w:pPr>
      <w:r>
        <w:t xml:space="preserve">Fed funds upper 4.0%; 10Y 5.22%; 10Y real 2.87%; 2s10s 0.44%.</w:t>
      </w:r>
    </w:p>
    <w:p>
      <w:pPr>
        <w:pStyle w:val="Compact"/>
        <w:numPr>
          <w:ilvl w:val="0"/>
          <w:numId w:val="1004"/>
        </w:numPr>
      </w:pPr>
      <w:r>
        <w:t xml:space="preserve">Net liquidity proxy ≈ 5,867 bn USD. Carry stress:</w:t>
      </w:r>
      <w:r>
        <w:t xml:space="preserve"> </w:t>
      </w:r>
      <w:r>
        <w:rPr>
          <w:b/>
          <w:bCs/>
        </w:rPr>
        <w:t xml:space="preserve">CALM</w:t>
      </w:r>
      <w:r>
        <w:t xml:space="preserve"> </w:t>
      </w:r>
      <w:r>
        <w:t xml:space="preserve">(USD/JPY 1M +2.4%, VIX 15.3).</w:t>
      </w:r>
    </w:p>
    <w:p>
      <w:pPr>
        <w:pStyle w:val="Compact"/>
        <w:numPr>
          <w:ilvl w:val="0"/>
          <w:numId w:val="1004"/>
        </w:numPr>
      </w:pPr>
      <w:r>
        <w:t xml:space="preserve">Positioning claims are withheld: CFTC/fund-manager survey/option skew feeds are UNAVAILABLE in v1.</w:t>
      </w:r>
    </w:p>
    <w:p>
      <w:pPr>
        <w:pStyle w:val="Compact"/>
        <w:numPr>
          <w:ilvl w:val="0"/>
          <w:numId w:val="1004"/>
        </w:numPr>
      </w:pPr>
      <w:r>
        <w:t xml:space="preserve">AI productivity → inflation → Fed: two competing paths (dovish productivity vs overheating); key evidence Nov 5 Productivity &amp; Costs, Oct 30 ECI.</w:t>
      </w:r>
    </w:p>
    <w:p>
      <w:pPr>
        <w:pStyle w:val="Compact"/>
        <w:numPr>
          <w:ilvl w:val="0"/>
          <w:numId w:val="1004"/>
        </w:numPr>
      </w:pPr>
      <w:r>
        <w:t xml:space="preserve">Falsifiers: core PCE ≤0.2% m/m for 3 months; USD/JPY −5% in a month.</w:t>
      </w:r>
      <w:r>
        <w:t xml:space="preserve"> </w:t>
      </w:r>
      <w:r>
        <w:t xml:space="preserve">Tables: see Chinese section (bilingual labels).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2026-10-13T10:14:47Z</dcterms:created>
  <dcterms:modified xsi:type="dcterms:W3CDTF">2026-10-13T10:14:47Z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