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0ddb8f95acfa6bb73d6913372c7abea347a2c79"/>
    <w:p>
      <w:pPr>
        <w:pStyle w:val="Heading1"/>
      </w:pPr>
      <w:r>
        <w:rPr>
          <w:rFonts w:hint="eastAsia"/>
        </w:rPr>
        <w:t xml:space="preserve">宏观初学者教学</w:t>
      </w:r>
      <w:r>
        <w:t xml:space="preserve"> Macro for Beginners v20261013-1812</w:t>
      </w:r>
    </w:p>
    <w:bookmarkStart w:id="9" w:name="中文"/>
    <w:p>
      <w:pPr>
        <w:pStyle w:val="Heading2"/>
      </w:pPr>
      <w:r>
        <w:rPr>
          <w:rFonts w:hint="eastAsia"/>
        </w:rPr>
        <w:t xml:space="preserve">中文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发生什么</w:t>
      </w:r>
      <w:r>
        <w:t xml:space="preserve">: </w:t>
      </w:r>
      <w:r>
        <w:rPr>
          <w:rFonts w:hint="eastAsia"/>
        </w:rPr>
        <w:t xml:space="preserve">通胀(CPI</w:t>
      </w:r>
      <w:r>
        <w:t xml:space="preserve"> </w:t>
      </w:r>
      <w:r>
        <w:rPr>
          <w:rFonts w:hint="eastAsia"/>
        </w:rPr>
        <w:t xml:space="preserve">+3.4%)仍高于美联储2%目标，所以利率维持在较高水平(上限</w:t>
      </w:r>
      <w:r>
        <w:t xml:space="preserve"> 4.0%)。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术语</w:t>
      </w:r>
      <w:r>
        <w:t xml:space="preserve">: CPI (Consumer Price </w:t>
      </w:r>
      <w:r>
        <w:rPr>
          <w:rFonts w:hint="eastAsia"/>
        </w:rPr>
        <w:t xml:space="preserve">Index｜消费者价格指数)；PCE</w:t>
      </w:r>
      <w:r>
        <w:t xml:space="preserve"> (Personal Consumption </w:t>
      </w:r>
      <w:r>
        <w:rPr>
          <w:rFonts w:hint="eastAsia"/>
        </w:rPr>
        <w:t xml:space="preserve">Expenditures｜个人消费支出物价)；FOMC</w:t>
      </w:r>
      <w:r>
        <w:t xml:space="preserve"> (Federal Open Market </w:t>
      </w:r>
      <w:r>
        <w:rPr>
          <w:rFonts w:hint="eastAsia"/>
        </w:rPr>
        <w:t xml:space="preserve">Committee｜联邦公开市场委员会)；Carry</w:t>
      </w:r>
      <w:r>
        <w:t xml:space="preserve"> trade </w:t>
      </w:r>
      <w:r>
        <w:rPr>
          <w:rFonts w:hint="eastAsia"/>
        </w:rPr>
        <w:t xml:space="preserve">(套息交易)：借低息日元买高息美元资产。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比喻</w:t>
      </w:r>
      <w:r>
        <w:t xml:space="preserve">: </w:t>
      </w:r>
      <w:r>
        <w:rPr>
          <w:rFonts w:hint="eastAsia"/>
        </w:rPr>
        <w:t xml:space="preserve">利率像”钱的租金”。租金越贵，未来才赚钱的成长股今天越不值钱。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因果箭头</w:t>
      </w:r>
      <w:r>
        <w:t xml:space="preserve">: </w:t>
      </w:r>
      <w:r>
        <w:rPr>
          <w:rFonts w:hint="eastAsia"/>
        </w:rPr>
        <w:t xml:space="preserve">通胀↑</w:t>
      </w:r>
      <w:r>
        <w:t xml:space="preserve"> → </w:t>
      </w:r>
      <w:r>
        <w:rPr>
          <w:rFonts w:hint="eastAsia"/>
        </w:rPr>
        <w:t xml:space="preserve">Fed加息/不降息</w:t>
      </w:r>
      <w:r>
        <w:t xml:space="preserve"> → 10Y↑ → WACC↑ → </w:t>
      </w:r>
      <w:r>
        <w:rPr>
          <w:rFonts w:hint="eastAsia"/>
        </w:rPr>
        <w:t xml:space="preserve">成长股估值↓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数字例题</w:t>
      </w:r>
      <w:r>
        <w:t xml:space="preserve">: </w:t>
      </w:r>
      <w:r>
        <w:rPr>
          <w:rFonts w:hint="eastAsia"/>
        </w:rPr>
        <w:t xml:space="preserve">设一家公司10年后FCF=100，折现率</w:t>
      </w:r>
      <w:r>
        <w:t xml:space="preserve"> </w:t>
      </w:r>
      <w:r>
        <w:rPr>
          <w:rFonts w:hint="eastAsia"/>
        </w:rPr>
        <w:t xml:space="preserve">r。价值=100/(1+r)^10。r=8%</w:t>
      </w:r>
      <w:r>
        <w:t xml:space="preserve"> → </w:t>
      </w:r>
      <w:r>
        <w:rPr>
          <w:rFonts w:hint="eastAsia"/>
        </w:rPr>
        <w:t xml:space="preserve">46.3；r=9%</w:t>
      </w:r>
      <w:r>
        <w:t xml:space="preserve"> → </w:t>
      </w:r>
      <w:r>
        <w:rPr>
          <w:rFonts w:hint="eastAsia"/>
        </w:rPr>
        <w:t xml:space="preserve">42.2。利率上升1个百分点，价值下跌约</w:t>
      </w:r>
      <w:r>
        <w:t xml:space="preserve"> 9%。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事实/预测/预期</w:t>
      </w:r>
      <w:r>
        <w:t xml:space="preserve">: </w:t>
      </w:r>
      <w:r>
        <w:rPr>
          <w:rFonts w:hint="eastAsia"/>
        </w:rPr>
        <w:t xml:space="preserve">事实=已公布的CPI；预测=我们对下次CPI的判断；市场预期=一致预期(发布前查Bloomberg/Reuters共识)。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三情景(下次CPI)</w:t>
      </w:r>
      <w:r>
        <w:t xml:space="preserve">: </w:t>
      </w:r>
      <w:r>
        <w:rPr>
          <w:rFonts w:hint="eastAsia"/>
        </w:rPr>
        <w:t xml:space="preserve">高于预期→利率↑、科技股↓；符合→小波动；低于预期→利率↓、成长股↑。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反方/失效</w:t>
      </w:r>
      <w:r>
        <w:t xml:space="preserve">: </w:t>
      </w:r>
      <w:r>
        <w:rPr>
          <w:rFonts w:hint="eastAsia"/>
        </w:rPr>
        <w:t xml:space="preserve">如果利率上升但股价也上升，可能是盈利预期上修压过了折现率影响。</w:t>
      </w:r>
      <w:r>
        <w:t xml:space="preserve"> </w:t>
      </w:r>
      <w:r>
        <w:t xml:space="preserve">## English</w:t>
      </w:r>
      <w:r>
        <w:t xml:space="preserve"> </w:t>
      </w:r>
      <w:r>
        <w:t xml:space="preserve">Inflation above target keeps rates high; rates are the</w:t>
      </w:r>
      <w:r>
        <w:t xml:space="preserve"> </w:t>
      </w:r>
      <w:r>
        <w:t xml:space="preserve">‘rent on money’</w:t>
      </w:r>
      <w:r>
        <w:t xml:space="preserve">; higher rent lowers today’s value of far-future cash flows. Worked example: PV=100/(1+r)^10 → 46.3 at 8%, 42.2 at 9% (≈−9%). Scenarios for CPI: hot/inline/cool. Counterview: rates and stocks can rise together when earnings upgrades dominate.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2026-10-13T10:14:47Z</dcterms:created>
  <dcterms:modified xsi:type="dcterms:W3CDTF">2026-10-13T10:14:47Z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