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b6ce6b706fdbd32775e98de723351d9116e5a0"/>
    <w:p>
      <w:pPr>
        <w:pStyle w:val="Heading1"/>
      </w:pPr>
      <w:r>
        <w:t xml:space="preserve">AMD Advanced Micro Devices,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$594.24｜市值</w:t>
      </w:r>
      <w:r>
        <w:t xml:space="preserve"> 970.1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AMD在服务器CPU持续夺份额，并以MI400/Helios机架争夺AI</w:t>
      </w:r>
      <w:r>
        <w:t xml:space="preserve"> </w:t>
      </w:r>
      <w:r>
        <w:rPr>
          <w:rFonts w:hint="eastAsia"/>
        </w:rPr>
        <w:t xml:space="preserve">GPU第二供应商地位；OpenAI合作是验证点，执行风险高。</w:t>
      </w:r>
    </w:p>
    <w:p>
      <w:pPr>
        <w:pStyle w:val="Compact"/>
        <w:numPr>
          <w:ilvl w:val="0"/>
          <w:numId w:val="1001"/>
        </w:numPr>
      </w:pPr>
      <w:r>
        <w:rPr>
          <w:rFonts w:hint="eastAsia"/>
          <w:b/>
          <w:bCs/>
        </w:rPr>
        <w:t xml:space="preserve">多头驱动</w:t>
      </w:r>
      <w:r>
        <w:t xml:space="preserve">: MI450 ramps on time with multiple gigawatt </w:t>
      </w:r>
      <w:r>
        <w:rPr>
          <w:rFonts w:hint="eastAsia"/>
        </w:rPr>
        <w:t xml:space="preserve">customers｜MI450按期多客户放量</w:t>
      </w:r>
    </w:p>
    <w:p>
      <w:pPr>
        <w:pStyle w:val="Compact"/>
        <w:numPr>
          <w:ilvl w:val="0"/>
          <w:numId w:val="1001"/>
        </w:numPr>
      </w:pPr>
      <w:r>
        <w:rPr>
          <w:rFonts w:hint="eastAsia"/>
          <w:b/>
          <w:bCs/>
        </w:rPr>
        <w:t xml:space="preserve">空头驱动</w:t>
      </w:r>
      <w:r>
        <w:t xml:space="preserve">: Delays; NVDA price aggression; client PC slowdown from memory </w:t>
      </w:r>
      <w:r>
        <w:rPr>
          <w:rFonts w:hint="eastAsia"/>
        </w:rPr>
        <w:t xml:space="preserve">costs｜延期；NVDA压价；存储涨价拖累PC</w:t>
      </w:r>
    </w:p>
    <w:p>
      <w:pPr>
        <w:pStyle w:val="Compact"/>
        <w:numPr>
          <w:ilvl w:val="0"/>
          <w:numId w:val="1001"/>
        </w:numPr>
      </w:pPr>
      <w:r>
        <w:rPr>
          <w:rFonts w:hint="eastAsia"/>
          <w:b/>
          <w:bCs/>
        </w:rPr>
        <w:t xml:space="preserve">证伪条件</w:t>
      </w:r>
      <w:r>
        <w:rPr>
          <w:b/>
          <w:bCs/>
        </w:rPr>
        <w:t xml:space="preserve"> 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 GPU AI accelerators CPU+AI GPU</w:t>
      </w:r>
    </w:p>
    <w:p>
      <w:pPr>
        <w:pStyle w:val="Compact"/>
        <w:numPr>
          <w:ilvl w:val="0"/>
          <w:numId w:val="1002"/>
        </w:numPr>
      </w:pPr>
      <w:r>
        <w:rPr>
          <w:rFonts w:hint="eastAsia"/>
        </w:rPr>
        <w:t xml:space="preserve">业务分部</w:t>
      </w:r>
      <w:r>
        <w:t xml:space="preserve"> Segments: Data Center (EPYC+Instinct) </w:t>
      </w:r>
      <w:r>
        <w:rPr>
          <w:rFonts w:hint="eastAsia"/>
        </w:rPr>
        <w:t xml:space="preserve">数据中心；Client</w:t>
      </w:r>
      <w:r>
        <w:t xml:space="preserve"> </w:t>
      </w:r>
      <w:r>
        <w:rPr>
          <w:rFonts w:hint="eastAsia"/>
        </w:rPr>
        <w:t xml:space="preserve">客户端；Gaming</w:t>
      </w:r>
      <w:r>
        <w:t xml:space="preserve"> </w:t>
      </w:r>
      <w:r>
        <w:rPr>
          <w:rFonts w:hint="eastAsia"/>
        </w:rPr>
        <w:t xml:space="preserve">游戏；Embedded</w:t>
      </w:r>
      <w:r>
        <w:t xml:space="preserve"> </w:t>
      </w:r>
      <w:r>
        <w:rPr>
          <w:rFonts w:hint="eastAsia"/>
        </w:rPr>
        <w:t xml:space="preserve">嵌入式</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02"/>
        </w:numPr>
      </w:pPr>
      <w:r>
        <w:rPr>
          <w:rFonts w:hint="eastAsia"/>
        </w:rPr>
        <w:t xml:space="preserve">主要客户:</w:t>
      </w:r>
      <w:r>
        <w:t xml:space="preserve"> Hyperscalers, OpenAI (MI450 deal), Oracle, Meta, PC </w:t>
      </w:r>
      <w:r>
        <w:rPr>
          <w:rFonts w:hint="eastAsia"/>
        </w:rPr>
        <w:t xml:space="preserve">OEMs｜云厂、OpenAI、甲骨文、Meta、PC厂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(N3/N2, CoWoS), HBM vendors, ZT Systems (rack </w:t>
      </w:r>
      <w:r>
        <w:rPr>
          <w:rFonts w:hint="eastAsia"/>
        </w:rPr>
        <w:t xml:space="preserve">design)｜台积电、HBM、ZT</w:t>
      </w:r>
      <w:r>
        <w:t xml:space="preserve"> Systems</w:t>
      </w:r>
    </w:p>
    <w:p>
      <w:pPr>
        <w:pStyle w:val="Compact"/>
        <w:numPr>
          <w:ilvl w:val="0"/>
          <w:numId w:val="1003"/>
        </w:numPr>
      </w:pPr>
      <w:r>
        <w:rPr>
          <w:rFonts w:hint="eastAsia"/>
        </w:rPr>
        <w:t xml:space="preserve">竞争者</w:t>
      </w:r>
      <w:r>
        <w:t xml:space="preserve"> </w:t>
      </w:r>
      <w:r>
        <w:rPr>
          <w:rFonts w:hint="eastAsia"/>
        </w:rPr>
        <w:t xml:space="preserve">(含业外):</w:t>
      </w:r>
      <w:r>
        <w:t xml:space="preserve"> NVDA, Intel, ARM-based CPUs, custom </w:t>
      </w:r>
      <w:r>
        <w:rPr>
          <w:rFonts w:hint="eastAsia"/>
        </w:rPr>
        <w:t xml:space="preserve">ASICs｜NVDA、英特尔、ARM</w:t>
      </w:r>
      <w:r>
        <w:t xml:space="preserve"> CPU、ASIC</w:t>
      </w:r>
    </w:p>
    <w:p>
      <w:pPr>
        <w:pStyle w:val="Compact"/>
        <w:numPr>
          <w:ilvl w:val="0"/>
          <w:numId w:val="1003"/>
        </w:numPr>
      </w:pPr>
      <w:r>
        <w:rPr>
          <w:rFonts w:hint="eastAsia"/>
        </w:rPr>
        <w:t xml:space="preserve">瓶颈/监管:</w:t>
      </w:r>
      <w:r>
        <w:t xml:space="preserve"> Rack-scale (Helios) execution, ROCm software maturity, CoWoS </w:t>
      </w:r>
      <w:r>
        <w:rPr>
          <w:rFonts w:hint="eastAsia"/>
        </w:rPr>
        <w:t xml:space="preserve">supply｜机架级Helios执行、ROCm软件、CoWoS</w:t>
      </w:r>
    </w:p>
    <w:p>
      <w:pPr>
        <w:pStyle w:val="Compact"/>
        <w:numPr>
          <w:ilvl w:val="0"/>
          <w:numId w:val="1003"/>
        </w:numPr>
      </w:pPr>
      <w:r>
        <w:rPr>
          <w:rFonts w:hint="eastAsia"/>
        </w:rPr>
        <w:t xml:space="preserve">关键KPI:</w:t>
      </w:r>
      <w:r>
        <w:t xml:space="preserve"> DC revenue, Instinct revenue, server CPU share, </w:t>
      </w:r>
      <w:r>
        <w:rPr>
          <w:rFonts w:hint="eastAsia"/>
        </w:rPr>
        <w:t xml:space="preserve">GM%｜DC收入、Instinct收入、服务器份额、毛利率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rPr>
          <w:rFonts w:hint="eastAsia"/>
        </w:rPr>
        <w:t xml:space="preserve">资产负债:</w:t>
      </w:r>
      <w:r>
        <w:t xml:space="preserve"> </w:t>
      </w:r>
      <w:r>
        <w:rPr>
          <w:rFonts w:hint="eastAsia"/>
        </w:rPr>
        <w:t xml:space="preserve">现金</w:t>
      </w:r>
      <w:r>
        <w:t xml:space="preserve"> 13.1 bn </w:t>
      </w:r>
      <w:r>
        <w:rPr>
          <w:rFonts w:hint="eastAsia"/>
        </w:rPr>
        <w:t xml:space="preserve">USD；总负债</w:t>
      </w:r>
      <w:r>
        <w:t xml:space="preserve"> 4.3 bn </w:t>
      </w:r>
      <w:r>
        <w:rPr>
          <w:rFonts w:hint="eastAsia"/>
        </w:rPr>
        <w:t xml:space="preserve">USD；净现金</w:t>
      </w:r>
      <w:r>
        <w:t xml:space="preserve"> 8.8 bn USD。TTM FCF 8.4 bn </w:t>
      </w:r>
      <w:r>
        <w:rPr>
          <w:rFonts w:hint="eastAsia"/>
        </w:rPr>
        <w:t xml:space="preserve">USD（FCF率</w:t>
      </w:r>
      <w:r>
        <w:t xml:space="preserve"> </w:t>
      </w:r>
      <w:r>
        <w:rPr>
          <w:rFonts w:hint="eastAsia"/>
        </w:rPr>
        <w:t xml:space="preserve">20.3%）。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1.92939（40位分析师）；收入一致预期</w:t>
      </w:r>
      <w:r>
        <w:t xml:space="preserve"> 13.1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$120.68</w:t>
            </w:r>
          </w:p>
        </w:tc>
        <w:tc>
          <w:tcPr/>
          <w:p>
            <w:pPr>
              <w:pStyle w:val="Compact"/>
            </w:pPr>
            <w:r>
              <w:t xml:space="preserve">-79.7%</w:t>
            </w:r>
          </w:p>
        </w:tc>
      </w:tr>
      <w:tr>
        <w:tc>
          <w:tcPr/>
          <w:p>
            <w:pPr>
              <w:pStyle w:val="Compact"/>
            </w:pPr>
            <w:r>
              <w:t xml:space="preserve">2Q</w:t>
            </w:r>
          </w:p>
        </w:tc>
        <w:tc>
          <w:tcPr/>
          <w:p>
            <w:pPr>
              <w:pStyle w:val="Compact"/>
            </w:pPr>
            <w:r>
              <w:t xml:space="preserve">Base</w:t>
            </w:r>
          </w:p>
        </w:tc>
        <w:tc>
          <w:tcPr/>
          <w:p>
            <w:pPr>
              <w:pStyle w:val="Compact"/>
            </w:pPr>
            <w:r>
              <w:t xml:space="preserve">$303.19</w:t>
            </w:r>
          </w:p>
        </w:tc>
        <w:tc>
          <w:tcPr/>
          <w:p>
            <w:pPr>
              <w:pStyle w:val="Compact"/>
            </w:pPr>
            <w:r>
              <w:t xml:space="preserve">-49.0%</w:t>
            </w:r>
          </w:p>
        </w:tc>
      </w:tr>
      <w:tr>
        <w:tc>
          <w:tcPr/>
          <w:p>
            <w:pPr>
              <w:pStyle w:val="Compact"/>
            </w:pPr>
            <w:r>
              <w:t xml:space="preserve">2Q</w:t>
            </w:r>
          </w:p>
        </w:tc>
        <w:tc>
          <w:tcPr/>
          <w:p>
            <w:pPr>
              <w:pStyle w:val="Compact"/>
            </w:pPr>
            <w:r>
              <w:t xml:space="preserve">Bull</w:t>
            </w:r>
          </w:p>
        </w:tc>
        <w:tc>
          <w:tcPr/>
          <w:p>
            <w:pPr>
              <w:pStyle w:val="Compact"/>
            </w:pPr>
            <w:r>
              <w:t xml:space="preserve">$532.22</w:t>
            </w:r>
          </w:p>
        </w:tc>
        <w:tc>
          <w:tcPr/>
          <w:p>
            <w:pPr>
              <w:pStyle w:val="Compact"/>
            </w:pPr>
            <w:r>
              <w:t xml:space="preserve">-10.4%</w:t>
            </w:r>
          </w:p>
        </w:tc>
      </w:tr>
      <w:tr>
        <w:tc>
          <w:tcPr/>
          <w:p>
            <w:pPr>
              <w:pStyle w:val="Compact"/>
            </w:pPr>
            <w:r>
              <w:t xml:space="preserve">4Q</w:t>
            </w:r>
          </w:p>
        </w:tc>
        <w:tc>
          <w:tcPr/>
          <w:p>
            <w:pPr>
              <w:pStyle w:val="Compact"/>
            </w:pPr>
            <w:r>
              <w:t xml:space="preserve">Bear</w:t>
            </w:r>
          </w:p>
        </w:tc>
        <w:tc>
          <w:tcPr/>
          <w:p>
            <w:pPr>
              <w:pStyle w:val="Compact"/>
            </w:pPr>
            <w:r>
              <w:t xml:space="preserve">$131.28</w:t>
            </w:r>
          </w:p>
        </w:tc>
        <w:tc>
          <w:tcPr/>
          <w:p>
            <w:pPr>
              <w:pStyle w:val="Compact"/>
            </w:pPr>
            <w:r>
              <w:t xml:space="preserve">-77.9%</w:t>
            </w:r>
          </w:p>
        </w:tc>
      </w:tr>
      <w:tr>
        <w:tc>
          <w:tcPr/>
          <w:p>
            <w:pPr>
              <w:pStyle w:val="Compact"/>
            </w:pPr>
            <w:r>
              <w:t xml:space="preserve">4Q</w:t>
            </w:r>
          </w:p>
        </w:tc>
        <w:tc>
          <w:tcPr/>
          <w:p>
            <w:pPr>
              <w:pStyle w:val="Compact"/>
            </w:pPr>
            <w:r>
              <w:t xml:space="preserve">Base</w:t>
            </w:r>
          </w:p>
        </w:tc>
        <w:tc>
          <w:tcPr/>
          <w:p>
            <w:pPr>
              <w:pStyle w:val="Compact"/>
            </w:pPr>
            <w:r>
              <w:t xml:space="preserve">$382.86</w:t>
            </w:r>
          </w:p>
        </w:tc>
        <w:tc>
          <w:tcPr/>
          <w:p>
            <w:pPr>
              <w:pStyle w:val="Compact"/>
            </w:pPr>
            <w:r>
              <w:t xml:space="preserve">-35.6%</w:t>
            </w:r>
          </w:p>
        </w:tc>
      </w:tr>
      <w:tr>
        <w:tc>
          <w:tcPr/>
          <w:p>
            <w:pPr>
              <w:pStyle w:val="Compact"/>
            </w:pPr>
            <w:r>
              <w:t xml:space="preserve">4Q</w:t>
            </w:r>
          </w:p>
        </w:tc>
        <w:tc>
          <w:tcPr/>
          <w:p>
            <w:pPr>
              <w:pStyle w:val="Compact"/>
            </w:pPr>
            <w:r>
              <w:t xml:space="preserve">Bull</w:t>
            </w:r>
          </w:p>
        </w:tc>
        <w:tc>
          <w:tcPr/>
          <w:p>
            <w:pPr>
              <w:pStyle w:val="Compact"/>
            </w:pPr>
            <w:r>
              <w:t xml:space="preserve">$727.17</w:t>
            </w:r>
          </w:p>
        </w:tc>
        <w:tc>
          <w:tcPr/>
          <w:p>
            <w:pPr>
              <w:pStyle w:val="Compact"/>
            </w:pPr>
            <w:r>
              <w:t xml:space="preserve">22.4%</w:t>
            </w:r>
          </w:p>
        </w:tc>
      </w:tr>
      <w:tr>
        <w:tc>
          <w:tcPr/>
          <w:p>
            <w:pPr>
              <w:pStyle w:val="Compact"/>
            </w:pPr>
            <w:r>
              <w:t xml:space="preserve">6Q</w:t>
            </w:r>
          </w:p>
        </w:tc>
        <w:tc>
          <w:tcPr/>
          <w:p>
            <w:pPr>
              <w:pStyle w:val="Compact"/>
            </w:pPr>
            <w:r>
              <w:t xml:space="preserve">Bear</w:t>
            </w:r>
          </w:p>
        </w:tc>
        <w:tc>
          <w:tcPr/>
          <w:p>
            <w:pPr>
              <w:pStyle w:val="Compact"/>
            </w:pPr>
            <w:r>
              <w:t xml:space="preserve">$142.93</w:t>
            </w:r>
          </w:p>
        </w:tc>
        <w:tc>
          <w:tcPr/>
          <w:p>
            <w:pPr>
              <w:pStyle w:val="Compact"/>
            </w:pPr>
            <w:r>
              <w:t xml:space="preserve">-75.9%</w:t>
            </w:r>
          </w:p>
        </w:tc>
      </w:tr>
      <w:tr>
        <w:tc>
          <w:tcPr/>
          <w:p>
            <w:pPr>
              <w:pStyle w:val="Compact"/>
            </w:pPr>
            <w:r>
              <w:t xml:space="preserve">6Q</w:t>
            </w:r>
          </w:p>
        </w:tc>
        <w:tc>
          <w:tcPr/>
          <w:p>
            <w:pPr>
              <w:pStyle w:val="Compact"/>
            </w:pPr>
            <w:r>
              <w:t xml:space="preserve">Base</w:t>
            </w:r>
          </w:p>
        </w:tc>
        <w:tc>
          <w:tcPr/>
          <w:p>
            <w:pPr>
              <w:pStyle w:val="Compact"/>
            </w:pPr>
            <w:r>
              <w:t xml:space="preserve">$483.81</w:t>
            </w:r>
          </w:p>
        </w:tc>
        <w:tc>
          <w:tcPr/>
          <w:p>
            <w:pPr>
              <w:pStyle w:val="Compact"/>
            </w:pPr>
            <w:r>
              <w:t xml:space="preserve">-18.6%</w:t>
            </w:r>
          </w:p>
        </w:tc>
      </w:tr>
      <w:tr>
        <w:tc>
          <w:tcPr/>
          <w:p>
            <w:pPr>
              <w:pStyle w:val="Compact"/>
            </w:pPr>
            <w:r>
              <w:t xml:space="preserve">6Q</w:t>
            </w:r>
          </w:p>
        </w:tc>
        <w:tc>
          <w:tcPr/>
          <w:p>
            <w:pPr>
              <w:pStyle w:val="Compact"/>
            </w:pPr>
            <w:r>
              <w:t xml:space="preserve">Bull</w:t>
            </w:r>
          </w:p>
        </w:tc>
        <w:tc>
          <w:tcPr/>
          <w:p>
            <w:pPr>
              <w:pStyle w:val="Compact"/>
            </w:pPr>
            <w:r>
              <w:t xml:space="preserve">$993.21</w:t>
            </w:r>
          </w:p>
        </w:tc>
        <w:tc>
          <w:tcPr/>
          <w:p>
            <w:pPr>
              <w:pStyle w:val="Compact"/>
            </w:pPr>
            <w:r>
              <w:t xml:space="preserve">67.1%</w:t>
            </w:r>
          </w:p>
        </w:tc>
      </w:tr>
      <w:tr>
        <w:tc>
          <w:tcPr/>
          <w:p>
            <w:pPr>
              <w:pStyle w:val="Compact"/>
            </w:pPr>
            <w:r>
              <w:t xml:space="preserve">8Q</w:t>
            </w:r>
          </w:p>
        </w:tc>
        <w:tc>
          <w:tcPr/>
          <w:p>
            <w:pPr>
              <w:pStyle w:val="Compact"/>
            </w:pPr>
            <w:r>
              <w:t xml:space="preserve">Bear</w:t>
            </w:r>
          </w:p>
        </w:tc>
        <w:tc>
          <w:tcPr/>
          <w:p>
            <w:pPr>
              <w:pStyle w:val="Compact"/>
            </w:pPr>
            <w:r>
              <w:t xml:space="preserve">$155.73</w:t>
            </w:r>
          </w:p>
        </w:tc>
        <w:tc>
          <w:tcPr/>
          <w:p>
            <w:pPr>
              <w:pStyle w:val="Compact"/>
            </w:pPr>
            <w:r>
              <w:t xml:space="preserve">-73.8%</w:t>
            </w:r>
          </w:p>
        </w:tc>
      </w:tr>
      <w:tr>
        <w:tc>
          <w:tcPr/>
          <w:p>
            <w:pPr>
              <w:pStyle w:val="Compact"/>
            </w:pPr>
            <w:r>
              <w:t xml:space="preserve">8Q</w:t>
            </w:r>
          </w:p>
        </w:tc>
        <w:tc>
          <w:tcPr/>
          <w:p>
            <w:pPr>
              <w:pStyle w:val="Compact"/>
            </w:pPr>
            <w:r>
              <w:t xml:space="preserve">Base</w:t>
            </w:r>
          </w:p>
        </w:tc>
        <w:tc>
          <w:tcPr/>
          <w:p>
            <w:pPr>
              <w:pStyle w:val="Compact"/>
            </w:pPr>
            <w:r>
              <w:t xml:space="preserve">$611.62</w:t>
            </w:r>
          </w:p>
        </w:tc>
        <w:tc>
          <w:tcPr/>
          <w:p>
            <w:pPr>
              <w:pStyle w:val="Compact"/>
            </w:pPr>
            <w:r>
              <w:t xml:space="preserve">2.9%</w:t>
            </w:r>
          </w:p>
        </w:tc>
      </w:tr>
      <w:tr>
        <w:tc>
          <w:tcPr/>
          <w:p>
            <w:pPr>
              <w:pStyle w:val="Compact"/>
            </w:pPr>
            <w:r>
              <w:t xml:space="preserve">8Q</w:t>
            </w:r>
          </w:p>
        </w:tc>
        <w:tc>
          <w:tcPr/>
          <w:p>
            <w:pPr>
              <w:pStyle w:val="Compact"/>
            </w:pPr>
            <w:r>
              <w:t xml:space="preserve">Bull</w:t>
            </w:r>
          </w:p>
        </w:tc>
        <w:tc>
          <w:tcPr/>
          <w:p>
            <w:pPr>
              <w:pStyle w:val="Compact"/>
            </w:pPr>
            <w:r>
              <w:t xml:space="preserve">$1,355.87</w:t>
            </w:r>
          </w:p>
        </w:tc>
        <w:tc>
          <w:tcPr/>
          <w:p>
            <w:pPr>
              <w:pStyle w:val="Compact"/>
            </w:pPr>
            <w:r>
              <w:t xml:space="preserve">128.2%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46.4x</w:t>
            </w:r>
          </w:p>
        </w:tc>
      </w:tr>
      <w:tr>
        <w:tc>
          <w:tcPr/>
          <w:p>
            <w:pPr>
              <w:pStyle w:val="Compact"/>
            </w:pPr>
            <w:r>
              <w:t xml:space="preserve">4Q</w:t>
            </w:r>
          </w:p>
        </w:tc>
        <w:tc>
          <w:tcPr/>
          <w:p>
            <w:pPr>
              <w:pStyle w:val="Compact"/>
            </w:pPr>
            <w:r>
              <w:t xml:space="preserve">34.4x</w:t>
            </w:r>
          </w:p>
        </w:tc>
      </w:tr>
      <w:tr>
        <w:tc>
          <w:tcPr/>
          <w:p>
            <w:pPr>
              <w:pStyle w:val="Compact"/>
            </w:pPr>
            <w:r>
              <w:t xml:space="preserve">6Q</w:t>
            </w:r>
          </w:p>
        </w:tc>
        <w:tc>
          <w:tcPr/>
          <w:p>
            <w:pPr>
              <w:pStyle w:val="Compact"/>
            </w:pPr>
            <w:r>
              <w:t xml:space="preserve">25.5x</w:t>
            </w:r>
          </w:p>
        </w:tc>
      </w:tr>
      <w:tr>
        <w:tc>
          <w:tcPr/>
          <w:p>
            <w:pPr>
              <w:pStyle w:val="Compact"/>
            </w:pPr>
            <w:r>
              <w:t xml:space="preserve">8Q</w:t>
            </w:r>
          </w:p>
        </w:tc>
        <w:tc>
          <w:tcPr/>
          <w:p>
            <w:pPr>
              <w:pStyle w:val="Compact"/>
            </w:pPr>
            <w:r>
              <w:t xml:space="preserve">18.9x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37.3%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$159.63</w:t>
            </w:r>
          </w:p>
        </w:tc>
        <w:tc>
          <w:tcPr/>
          <w:p>
            <w:pPr>
              <w:pStyle w:val="Compact"/>
            </w:pPr>
            <w:r>
              <w:t xml:space="preserve">-73.1%</w:t>
            </w:r>
          </w:p>
        </w:tc>
      </w:tr>
      <w:tr>
        <w:tc>
          <w:tcPr/>
          <w:p>
            <w:pPr>
              <w:pStyle w:val="Compact"/>
            </w:pPr>
            <w:r>
              <w:t xml:space="preserve">Base</w:t>
            </w:r>
          </w:p>
        </w:tc>
        <w:tc>
          <w:tcPr/>
          <w:p>
            <w:pPr>
              <w:pStyle w:val="Compact"/>
            </w:pPr>
            <w:r>
              <w:t xml:space="preserve">74.6%</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$750.68</w:t>
            </w:r>
          </w:p>
        </w:tc>
        <w:tc>
          <w:tcPr/>
          <w:p>
            <w:pPr>
              <w:pStyle w:val="Compact"/>
            </w:pPr>
            <w:r>
              <w:t xml:space="preserve">26.3%</w:t>
            </w:r>
          </w:p>
        </w:tc>
      </w:tr>
      <w:tr>
        <w:tc>
          <w:tcPr/>
          <w:p>
            <w:pPr>
              <w:pStyle w:val="Compact"/>
            </w:pPr>
            <w:r>
              <w:t xml:space="preserve">Bull</w:t>
            </w:r>
          </w:p>
        </w:tc>
        <w:tc>
          <w:tcPr/>
          <w:p>
            <w:pPr>
              <w:pStyle w:val="Compact"/>
            </w:pPr>
            <w:r>
              <w:t xml:space="preserve">96.9%</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$1,870.23</w:t>
            </w:r>
          </w:p>
        </w:tc>
        <w:tc>
          <w:tcPr/>
          <w:p>
            <w:pPr>
              <w:pStyle w:val="Compact"/>
            </w:pPr>
            <w:r>
              <w:t xml:space="preserve">214.7%</w:t>
            </w:r>
          </w:p>
        </w:tc>
      </w:tr>
    </w:tbl>
    <w:p>
      <w:pPr>
        <w:pStyle w:val="BodyText"/>
      </w:pPr>
      <w:r>
        <w:rPr>
          <w:rFonts w:hint="eastAsia"/>
        </w:rPr>
        <w:t xml:space="preserve">概率加权价值</w:t>
      </w:r>
      <w:r>
        <w:t xml:space="preserve"> </w:t>
      </w:r>
      <w:r>
        <w:rPr>
          <w:b/>
          <w:bCs/>
        </w:rPr>
        <w:t xml:space="preserve">$882.80</w:t>
      </w:r>
      <w:r>
        <w:rPr>
          <w:rFonts w:hint="eastAsia"/>
        </w:rPr>
        <w:t xml:space="preserve">（相对现价</w:t>
      </w:r>
      <w:r>
        <w:t xml:space="preserve"> </w:t>
      </w:r>
      <w:r>
        <w:rPr>
          <w:rFonts w:hint="eastAsia"/>
        </w:rPr>
        <w:t xml:space="preserve">48.6%）。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1,216.6 bn </w:t>
      </w:r>
      <w:r>
        <w:rPr>
          <w:rFonts w:hint="eastAsia"/>
        </w:rPr>
        <w:t xml:space="preserve">USD；终值占比</w:t>
      </w:r>
      <w:r>
        <w:t xml:space="preserve"> 57.0%。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67.0%</w:t>
      </w:r>
      <w:r>
        <w:rPr>
          <w:rFonts w:hint="eastAsia"/>
        </w:rPr>
        <w:t xml:space="preserve">；一致预期FY+1增速</w:t>
      </w:r>
      <w:r>
        <w:t xml:space="preserve"> 74.6%。</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AMD | 970.1 bn USD | 23.3x | 37.8x | 50.1% | 55.7% | 0.9% |</w:t>
      </w:r>
      <w:r>
        <w:t xml:space="preserve"> </w:t>
      </w:r>
      <w:r>
        <w:t xml:space="preserve">| NVDA | 5,464.9 bn USD | 17.9x | 14.2x | 105.9% | 74.7% | 0.8% |</w:t>
      </w:r>
      <w:r>
        <w:t xml:space="preserve"> </w:t>
      </w:r>
      <w:r>
        <w:t xml:space="preserve">| INTC | 535.7 bn USD | 9.6x | 48.7x | 25.4% | 38.9% | 0.9% |</w:t>
      </w:r>
      <w:r>
        <w:t xml:space="preserve"> </w:t>
      </w:r>
      <w:r>
        <w:t xml:space="preserve">| AVGO | 1,693.3 bn USD | 19.4x | 18.3x | 85.5% | 75.5% | 1.8% |</w:t>
      </w:r>
      <w:r>
        <w:t xml:space="preserve"> </w:t>
      </w:r>
      <w:r>
        <w:t xml:space="preserve">| ARM | 272.6 bn USD | 52.2x | 83.3x | 22.4% | 97.5% | 0.5%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NVDA price aggression; client PC slowdown from memory </w:t>
      </w:r>
      <w:r>
        <w:rPr>
          <w:rFonts w:hint="eastAsia"/>
        </w:rPr>
        <w:t xml:space="preserve">costs｜延期；NVDA压价；存储涨价拖累PC</w:t>
      </w:r>
    </w:p>
    <w:p>
      <w:pPr>
        <w:pStyle w:val="Compact"/>
        <w:numPr>
          <w:ilvl w:val="0"/>
          <w:numId w:val="1006"/>
        </w:numPr>
      </w:pPr>
      <w:r>
        <w:rPr>
          <w:rFonts w:hint="eastAsia"/>
        </w:rPr>
        <w:t xml:space="preserve">证伪指标:</w:t>
      </w:r>
      <w:r>
        <w:t xml:space="preserve"> DC GPU revenue below guide; Helios slips past </w:t>
      </w:r>
      <w:r>
        <w:rPr>
          <w:rFonts w:hint="eastAsia"/>
        </w:rPr>
        <w:t xml:space="preserve">2H26｜DC</w:t>
      </w:r>
      <w:r>
        <w:t xml:space="preserve"> </w:t>
      </w:r>
      <w:r>
        <w:rPr>
          <w:rFonts w:hint="eastAsia"/>
        </w:rPr>
        <w:t xml:space="preserve">GPU收入低于指引；Helios延后</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594.2</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9.701e+11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1.311e+10</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4.276e+09</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4.131e+10</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8.403e+09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2.454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0.7457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0.7457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0.2034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AMD_model_v20261013-1622.xlsx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ddd372be78d434fedcdee3e718d1b5a28d93c17"/>
    <w:p>
      <w:pPr>
        <w:pStyle w:val="Heading1"/>
      </w:pPr>
      <w:r>
        <w:t xml:space="preserve">AMD Advanced Micro Devices, Inc. — Equity Deep Dive (Professional English) v20261013-1622</w:t>
      </w:r>
    </w:p>
    <w:p>
      <w:pPr>
        <w:pStyle w:val="BlockText"/>
      </w:pPr>
      <w:r>
        <w:t xml:space="preserve">Data as of 2026-10-13 16:22 SGT | Price $594.24 | Mkt cap 970.1 bn USD | Reporting currency USD | Not investment advice.</w:t>
      </w:r>
    </w:p>
    <w:bookmarkStart w:id="39" w:name="investment-thesis-hypothesis"/>
    <w:p>
      <w:pPr>
        <w:pStyle w:val="Heading2"/>
      </w:pPr>
      <w:r>
        <w:t xml:space="preserve">1. Investment thesis (HYPOTHESIS)</w:t>
      </w:r>
    </w:p>
    <w:p>
      <w:pPr>
        <w:pStyle w:val="FirstParagraph"/>
      </w:pPr>
      <w:r>
        <w:t xml:space="preserve">AMD keeps taking server-CPU share and is fighting to be the No.2 AI GPU supplier with MI400/Helios racks; the OpenAI partnership is the proof point, with high execution risk.</w:t>
      </w:r>
    </w:p>
    <w:p>
      <w:pPr>
        <w:pStyle w:val="Compact"/>
        <w:numPr>
          <w:ilvl w:val="0"/>
          <w:numId w:val="1009"/>
        </w:numPr>
      </w:pPr>
      <w:r>
        <w:rPr>
          <w:b/>
          <w:bCs/>
        </w:rPr>
        <w:t xml:space="preserve">Bull drivers</w:t>
      </w:r>
      <w:r>
        <w:t xml:space="preserve">: MI450 ramps on time with multiple gigawatt </w:t>
      </w:r>
      <w:r>
        <w:rPr>
          <w:rFonts w:hint="eastAsia"/>
        </w:rPr>
        <w:t xml:space="preserve">customers｜MI450按期多客户放量</w:t>
      </w:r>
    </w:p>
    <w:p>
      <w:pPr>
        <w:pStyle w:val="Compact"/>
        <w:numPr>
          <w:ilvl w:val="0"/>
          <w:numId w:val="1009"/>
        </w:numPr>
      </w:pPr>
      <w:r>
        <w:rPr>
          <w:b/>
          <w:bCs/>
        </w:rPr>
        <w:t xml:space="preserve">Bear drivers</w:t>
      </w:r>
      <w:r>
        <w:t xml:space="preserve">: Delays; NVDA price aggression; client PC slowdown from memory </w:t>
      </w:r>
      <w:r>
        <w:rPr>
          <w:rFonts w:hint="eastAsia"/>
        </w:rPr>
        <w:t xml:space="preserve">costs｜延期；NVDA压价；存储涨价拖累PC</w:t>
      </w:r>
    </w:p>
    <w:p>
      <w:pPr>
        <w:pStyle w:val="Compact"/>
        <w:numPr>
          <w:ilvl w:val="0"/>
          <w:numId w:val="1009"/>
        </w:numPr>
      </w:pPr>
      <w:r>
        <w:rPr>
          <w:b/>
          <w:bCs/>
        </w:rPr>
        <w:t xml:space="preserve">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 GPU AI accelerators CPU+AI GPU |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p>
    <w:p>
      <w:pPr>
        <w:pStyle w:val="Compact"/>
        <w:numPr>
          <w:ilvl w:val="0"/>
          <w:numId w:val="1010"/>
        </w:numPr>
      </w:pPr>
      <w:r>
        <w:t xml:space="preserve">Business description (DATA):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10"/>
        </w:numPr>
      </w:pPr>
      <w:r>
        <w:t xml:space="preserve">Customers: Hyperscalers, OpenAI (MI450 deal), Oracle, Meta, PC </w:t>
      </w:r>
      <w:r>
        <w:rPr>
          <w:rFonts w:hint="eastAsia"/>
        </w:rPr>
        <w:t xml:space="preserve">OEMs｜云厂、OpenAI、甲骨文、Meta、PC厂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(N3/N2, CoWoS), HBM vendors, ZT Systems (rack </w:t>
      </w:r>
      <w:r>
        <w:rPr>
          <w:rFonts w:hint="eastAsia"/>
        </w:rPr>
        <w:t xml:space="preserve">design)｜台积电、HBM、ZT</w:t>
      </w:r>
      <w:r>
        <w:t xml:space="preserve"> Systems</w:t>
      </w:r>
    </w:p>
    <w:p>
      <w:pPr>
        <w:pStyle w:val="Compact"/>
        <w:numPr>
          <w:ilvl w:val="0"/>
          <w:numId w:val="1011"/>
        </w:numPr>
      </w:pPr>
      <w:r>
        <w:t xml:space="preserve">Competitors: NVDA, Intel, ARM-based CPUs, custom </w:t>
      </w:r>
      <w:r>
        <w:rPr>
          <w:rFonts w:hint="eastAsia"/>
        </w:rPr>
        <w:t xml:space="preserve">ASICs｜NVDA、英特尔、ARM</w:t>
      </w:r>
      <w:r>
        <w:t xml:space="preserve"> CPU、ASIC</w:t>
      </w:r>
    </w:p>
    <w:p>
      <w:pPr>
        <w:pStyle w:val="Compact"/>
        <w:numPr>
          <w:ilvl w:val="0"/>
          <w:numId w:val="1011"/>
        </w:numPr>
      </w:pPr>
      <w:r>
        <w:t xml:space="preserve">Bottlenecks/regulation: Rack-scale (Helios) execution, ROCm software maturity, CoWoS </w:t>
      </w:r>
      <w:r>
        <w:rPr>
          <w:rFonts w:hint="eastAsia"/>
        </w:rPr>
        <w:t xml:space="preserve">supply｜机架级Helios执行、ROCm软件、CoWoS</w:t>
      </w:r>
    </w:p>
    <w:p>
      <w:pPr>
        <w:pStyle w:val="Compact"/>
        <w:numPr>
          <w:ilvl w:val="0"/>
          <w:numId w:val="1011"/>
        </w:numPr>
      </w:pPr>
      <w:r>
        <w:t xml:space="preserve">KPIs: DC revenue, Instinct revenue, server CPU share, </w:t>
      </w:r>
      <w:r>
        <w:rPr>
          <w:rFonts w:hint="eastAsia"/>
        </w:rPr>
        <w:t xml:space="preserve">GM%｜DC收入、Instinct收入、服务器份额、毛利率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t xml:space="preserve">Cash 13.1 bn USD; debt 4.3 bn USD; TTM FCF 8.4 bn USD (FCF margin 20.3%).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1.92939 (40 analysts); revenue consensus 13.1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$120.68</w:t>
            </w:r>
          </w:p>
        </w:tc>
        <w:tc>
          <w:tcPr/>
          <w:p>
            <w:pPr>
              <w:pStyle w:val="Compact"/>
            </w:pPr>
            <w:r>
              <w:t xml:space="preserve">-79.7%</w:t>
            </w:r>
          </w:p>
        </w:tc>
      </w:tr>
      <w:tr>
        <w:tc>
          <w:tcPr/>
          <w:p>
            <w:pPr>
              <w:pStyle w:val="Compact"/>
            </w:pPr>
            <w:r>
              <w:t xml:space="preserve">2Q</w:t>
            </w:r>
          </w:p>
        </w:tc>
        <w:tc>
          <w:tcPr/>
          <w:p>
            <w:pPr>
              <w:pStyle w:val="Compact"/>
            </w:pPr>
            <w:r>
              <w:t xml:space="preserve">Base</w:t>
            </w:r>
          </w:p>
        </w:tc>
        <w:tc>
          <w:tcPr/>
          <w:p>
            <w:pPr>
              <w:pStyle w:val="Compact"/>
            </w:pPr>
            <w:r>
              <w:t xml:space="preserve">$303.19</w:t>
            </w:r>
          </w:p>
        </w:tc>
        <w:tc>
          <w:tcPr/>
          <w:p>
            <w:pPr>
              <w:pStyle w:val="Compact"/>
            </w:pPr>
            <w:r>
              <w:t xml:space="preserve">-49.0%</w:t>
            </w:r>
          </w:p>
        </w:tc>
      </w:tr>
      <w:tr>
        <w:tc>
          <w:tcPr/>
          <w:p>
            <w:pPr>
              <w:pStyle w:val="Compact"/>
            </w:pPr>
            <w:r>
              <w:t xml:space="preserve">2Q</w:t>
            </w:r>
          </w:p>
        </w:tc>
        <w:tc>
          <w:tcPr/>
          <w:p>
            <w:pPr>
              <w:pStyle w:val="Compact"/>
            </w:pPr>
            <w:r>
              <w:t xml:space="preserve">Bull</w:t>
            </w:r>
          </w:p>
        </w:tc>
        <w:tc>
          <w:tcPr/>
          <w:p>
            <w:pPr>
              <w:pStyle w:val="Compact"/>
            </w:pPr>
            <w:r>
              <w:t xml:space="preserve">$532.22</w:t>
            </w:r>
          </w:p>
        </w:tc>
        <w:tc>
          <w:tcPr/>
          <w:p>
            <w:pPr>
              <w:pStyle w:val="Compact"/>
            </w:pPr>
            <w:r>
              <w:t xml:space="preserve">-10.4%</w:t>
            </w:r>
          </w:p>
        </w:tc>
      </w:tr>
      <w:tr>
        <w:tc>
          <w:tcPr/>
          <w:p>
            <w:pPr>
              <w:pStyle w:val="Compact"/>
            </w:pPr>
            <w:r>
              <w:t xml:space="preserve">4Q</w:t>
            </w:r>
          </w:p>
        </w:tc>
        <w:tc>
          <w:tcPr/>
          <w:p>
            <w:pPr>
              <w:pStyle w:val="Compact"/>
            </w:pPr>
            <w:r>
              <w:t xml:space="preserve">Bear</w:t>
            </w:r>
          </w:p>
        </w:tc>
        <w:tc>
          <w:tcPr/>
          <w:p>
            <w:pPr>
              <w:pStyle w:val="Compact"/>
            </w:pPr>
            <w:r>
              <w:t xml:space="preserve">$131.28</w:t>
            </w:r>
          </w:p>
        </w:tc>
        <w:tc>
          <w:tcPr/>
          <w:p>
            <w:pPr>
              <w:pStyle w:val="Compact"/>
            </w:pPr>
            <w:r>
              <w:t xml:space="preserve">-77.9%</w:t>
            </w:r>
          </w:p>
        </w:tc>
      </w:tr>
      <w:tr>
        <w:tc>
          <w:tcPr/>
          <w:p>
            <w:pPr>
              <w:pStyle w:val="Compact"/>
            </w:pPr>
            <w:r>
              <w:t xml:space="preserve">4Q</w:t>
            </w:r>
          </w:p>
        </w:tc>
        <w:tc>
          <w:tcPr/>
          <w:p>
            <w:pPr>
              <w:pStyle w:val="Compact"/>
            </w:pPr>
            <w:r>
              <w:t xml:space="preserve">Base</w:t>
            </w:r>
          </w:p>
        </w:tc>
        <w:tc>
          <w:tcPr/>
          <w:p>
            <w:pPr>
              <w:pStyle w:val="Compact"/>
            </w:pPr>
            <w:r>
              <w:t xml:space="preserve">$382.86</w:t>
            </w:r>
          </w:p>
        </w:tc>
        <w:tc>
          <w:tcPr/>
          <w:p>
            <w:pPr>
              <w:pStyle w:val="Compact"/>
            </w:pPr>
            <w:r>
              <w:t xml:space="preserve">-35.6%</w:t>
            </w:r>
          </w:p>
        </w:tc>
      </w:tr>
      <w:tr>
        <w:tc>
          <w:tcPr/>
          <w:p>
            <w:pPr>
              <w:pStyle w:val="Compact"/>
            </w:pPr>
            <w:r>
              <w:t xml:space="preserve">4Q</w:t>
            </w:r>
          </w:p>
        </w:tc>
        <w:tc>
          <w:tcPr/>
          <w:p>
            <w:pPr>
              <w:pStyle w:val="Compact"/>
            </w:pPr>
            <w:r>
              <w:t xml:space="preserve">Bull</w:t>
            </w:r>
          </w:p>
        </w:tc>
        <w:tc>
          <w:tcPr/>
          <w:p>
            <w:pPr>
              <w:pStyle w:val="Compact"/>
            </w:pPr>
            <w:r>
              <w:t xml:space="preserve">$727.17</w:t>
            </w:r>
          </w:p>
        </w:tc>
        <w:tc>
          <w:tcPr/>
          <w:p>
            <w:pPr>
              <w:pStyle w:val="Compact"/>
            </w:pPr>
            <w:r>
              <w:t xml:space="preserve">22.4%</w:t>
            </w:r>
          </w:p>
        </w:tc>
      </w:tr>
      <w:tr>
        <w:tc>
          <w:tcPr/>
          <w:p>
            <w:pPr>
              <w:pStyle w:val="Compact"/>
            </w:pPr>
            <w:r>
              <w:t xml:space="preserve">6Q</w:t>
            </w:r>
          </w:p>
        </w:tc>
        <w:tc>
          <w:tcPr/>
          <w:p>
            <w:pPr>
              <w:pStyle w:val="Compact"/>
            </w:pPr>
            <w:r>
              <w:t xml:space="preserve">Bear</w:t>
            </w:r>
          </w:p>
        </w:tc>
        <w:tc>
          <w:tcPr/>
          <w:p>
            <w:pPr>
              <w:pStyle w:val="Compact"/>
            </w:pPr>
            <w:r>
              <w:t xml:space="preserve">$142.93</w:t>
            </w:r>
          </w:p>
        </w:tc>
        <w:tc>
          <w:tcPr/>
          <w:p>
            <w:pPr>
              <w:pStyle w:val="Compact"/>
            </w:pPr>
            <w:r>
              <w:t xml:space="preserve">-75.9%</w:t>
            </w:r>
          </w:p>
        </w:tc>
      </w:tr>
      <w:tr>
        <w:tc>
          <w:tcPr/>
          <w:p>
            <w:pPr>
              <w:pStyle w:val="Compact"/>
            </w:pPr>
            <w:r>
              <w:t xml:space="preserve">6Q</w:t>
            </w:r>
          </w:p>
        </w:tc>
        <w:tc>
          <w:tcPr/>
          <w:p>
            <w:pPr>
              <w:pStyle w:val="Compact"/>
            </w:pPr>
            <w:r>
              <w:t xml:space="preserve">Base</w:t>
            </w:r>
          </w:p>
        </w:tc>
        <w:tc>
          <w:tcPr/>
          <w:p>
            <w:pPr>
              <w:pStyle w:val="Compact"/>
            </w:pPr>
            <w:r>
              <w:t xml:space="preserve">$483.81</w:t>
            </w:r>
          </w:p>
        </w:tc>
        <w:tc>
          <w:tcPr/>
          <w:p>
            <w:pPr>
              <w:pStyle w:val="Compact"/>
            </w:pPr>
            <w:r>
              <w:t xml:space="preserve">-18.6%</w:t>
            </w:r>
          </w:p>
        </w:tc>
      </w:tr>
      <w:tr>
        <w:tc>
          <w:tcPr/>
          <w:p>
            <w:pPr>
              <w:pStyle w:val="Compact"/>
            </w:pPr>
            <w:r>
              <w:t xml:space="preserve">6Q</w:t>
            </w:r>
          </w:p>
        </w:tc>
        <w:tc>
          <w:tcPr/>
          <w:p>
            <w:pPr>
              <w:pStyle w:val="Compact"/>
            </w:pPr>
            <w:r>
              <w:t xml:space="preserve">Bull</w:t>
            </w:r>
          </w:p>
        </w:tc>
        <w:tc>
          <w:tcPr/>
          <w:p>
            <w:pPr>
              <w:pStyle w:val="Compact"/>
            </w:pPr>
            <w:r>
              <w:t xml:space="preserve">$993.21</w:t>
            </w:r>
          </w:p>
        </w:tc>
        <w:tc>
          <w:tcPr/>
          <w:p>
            <w:pPr>
              <w:pStyle w:val="Compact"/>
            </w:pPr>
            <w:r>
              <w:t xml:space="preserve">67.1%</w:t>
            </w:r>
          </w:p>
        </w:tc>
      </w:tr>
      <w:tr>
        <w:tc>
          <w:tcPr/>
          <w:p>
            <w:pPr>
              <w:pStyle w:val="Compact"/>
            </w:pPr>
            <w:r>
              <w:t xml:space="preserve">8Q</w:t>
            </w:r>
          </w:p>
        </w:tc>
        <w:tc>
          <w:tcPr/>
          <w:p>
            <w:pPr>
              <w:pStyle w:val="Compact"/>
            </w:pPr>
            <w:r>
              <w:t xml:space="preserve">Bear</w:t>
            </w:r>
          </w:p>
        </w:tc>
        <w:tc>
          <w:tcPr/>
          <w:p>
            <w:pPr>
              <w:pStyle w:val="Compact"/>
            </w:pPr>
            <w:r>
              <w:t xml:space="preserve">$155.73</w:t>
            </w:r>
          </w:p>
        </w:tc>
        <w:tc>
          <w:tcPr/>
          <w:p>
            <w:pPr>
              <w:pStyle w:val="Compact"/>
            </w:pPr>
            <w:r>
              <w:t xml:space="preserve">-73.8%</w:t>
            </w:r>
          </w:p>
        </w:tc>
      </w:tr>
      <w:tr>
        <w:tc>
          <w:tcPr/>
          <w:p>
            <w:pPr>
              <w:pStyle w:val="Compact"/>
            </w:pPr>
            <w:r>
              <w:t xml:space="preserve">8Q</w:t>
            </w:r>
          </w:p>
        </w:tc>
        <w:tc>
          <w:tcPr/>
          <w:p>
            <w:pPr>
              <w:pStyle w:val="Compact"/>
            </w:pPr>
            <w:r>
              <w:t xml:space="preserve">Base</w:t>
            </w:r>
          </w:p>
        </w:tc>
        <w:tc>
          <w:tcPr/>
          <w:p>
            <w:pPr>
              <w:pStyle w:val="Compact"/>
            </w:pPr>
            <w:r>
              <w:t xml:space="preserve">$611.62</w:t>
            </w:r>
          </w:p>
        </w:tc>
        <w:tc>
          <w:tcPr/>
          <w:p>
            <w:pPr>
              <w:pStyle w:val="Compact"/>
            </w:pPr>
            <w:r>
              <w:t xml:space="preserve">2.9%</w:t>
            </w:r>
          </w:p>
        </w:tc>
      </w:tr>
      <w:tr>
        <w:tc>
          <w:tcPr/>
          <w:p>
            <w:pPr>
              <w:pStyle w:val="Compact"/>
            </w:pPr>
            <w:r>
              <w:t xml:space="preserve">8Q</w:t>
            </w:r>
          </w:p>
        </w:tc>
        <w:tc>
          <w:tcPr/>
          <w:p>
            <w:pPr>
              <w:pStyle w:val="Compact"/>
            </w:pPr>
            <w:r>
              <w:t xml:space="preserve">Bull</w:t>
            </w:r>
          </w:p>
        </w:tc>
        <w:tc>
          <w:tcPr/>
          <w:p>
            <w:pPr>
              <w:pStyle w:val="Compact"/>
            </w:pPr>
            <w:r>
              <w:t xml:space="preserve">$1,355.87</w:t>
            </w:r>
          </w:p>
        </w:tc>
        <w:tc>
          <w:tcPr/>
          <w:p>
            <w:pPr>
              <w:pStyle w:val="Compact"/>
            </w:pPr>
            <w:r>
              <w:t xml:space="preserve">128.2%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46.4x</w:t>
            </w:r>
          </w:p>
        </w:tc>
      </w:tr>
      <w:tr>
        <w:tc>
          <w:tcPr/>
          <w:p>
            <w:pPr>
              <w:pStyle w:val="Compact"/>
            </w:pPr>
            <w:r>
              <w:t xml:space="preserve">4Q</w:t>
            </w:r>
          </w:p>
        </w:tc>
        <w:tc>
          <w:tcPr/>
          <w:p>
            <w:pPr>
              <w:pStyle w:val="Compact"/>
            </w:pPr>
            <w:r>
              <w:t xml:space="preserve">34.4x</w:t>
            </w:r>
          </w:p>
        </w:tc>
      </w:tr>
      <w:tr>
        <w:tc>
          <w:tcPr/>
          <w:p>
            <w:pPr>
              <w:pStyle w:val="Compact"/>
            </w:pPr>
            <w:r>
              <w:t xml:space="preserve">6Q</w:t>
            </w:r>
          </w:p>
        </w:tc>
        <w:tc>
          <w:tcPr/>
          <w:p>
            <w:pPr>
              <w:pStyle w:val="Compact"/>
            </w:pPr>
            <w:r>
              <w:t xml:space="preserve">25.5x</w:t>
            </w:r>
          </w:p>
        </w:tc>
      </w:tr>
      <w:tr>
        <w:tc>
          <w:tcPr/>
          <w:p>
            <w:pPr>
              <w:pStyle w:val="Compact"/>
            </w:pPr>
            <w:r>
              <w:t xml:space="preserve">8Q</w:t>
            </w:r>
          </w:p>
        </w:tc>
        <w:tc>
          <w:tcPr/>
          <w:p>
            <w:pPr>
              <w:pStyle w:val="Compact"/>
            </w:pPr>
            <w:r>
              <w:t xml:space="preserve">18.9x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37.3%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$159.63</w:t>
            </w:r>
          </w:p>
        </w:tc>
        <w:tc>
          <w:tcPr/>
          <w:p>
            <w:pPr>
              <w:pStyle w:val="Compact"/>
            </w:pPr>
            <w:r>
              <w:t xml:space="preserve">-73.1%</w:t>
            </w:r>
          </w:p>
        </w:tc>
      </w:tr>
      <w:tr>
        <w:tc>
          <w:tcPr/>
          <w:p>
            <w:pPr>
              <w:pStyle w:val="Compact"/>
            </w:pPr>
            <w:r>
              <w:t xml:space="preserve">Base</w:t>
            </w:r>
          </w:p>
        </w:tc>
        <w:tc>
          <w:tcPr/>
          <w:p>
            <w:pPr>
              <w:pStyle w:val="Compact"/>
            </w:pPr>
            <w:r>
              <w:t xml:space="preserve">74.6%</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$750.68</w:t>
            </w:r>
          </w:p>
        </w:tc>
        <w:tc>
          <w:tcPr/>
          <w:p>
            <w:pPr>
              <w:pStyle w:val="Compact"/>
            </w:pPr>
            <w:r>
              <w:t xml:space="preserve">26.3%</w:t>
            </w:r>
          </w:p>
        </w:tc>
      </w:tr>
      <w:tr>
        <w:tc>
          <w:tcPr/>
          <w:p>
            <w:pPr>
              <w:pStyle w:val="Compact"/>
            </w:pPr>
            <w:r>
              <w:t xml:space="preserve">Bull</w:t>
            </w:r>
          </w:p>
        </w:tc>
        <w:tc>
          <w:tcPr/>
          <w:p>
            <w:pPr>
              <w:pStyle w:val="Compact"/>
            </w:pPr>
            <w:r>
              <w:t xml:space="preserve">96.9%</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$1,870.23</w:t>
            </w:r>
          </w:p>
        </w:tc>
        <w:tc>
          <w:tcPr/>
          <w:p>
            <w:pPr>
              <w:pStyle w:val="Compact"/>
            </w:pPr>
            <w:r>
              <w:t xml:space="preserve">214.7%</w:t>
            </w:r>
          </w:p>
        </w:tc>
      </w:tr>
    </w:tbl>
    <w:p>
      <w:pPr>
        <w:pStyle w:val="BodyText"/>
      </w:pPr>
      <w:r>
        <w:t xml:space="preserve">Probability-weighted value</w:t>
      </w:r>
      <w:r>
        <w:t xml:space="preserve"> </w:t>
      </w:r>
      <w:r>
        <w:rPr>
          <w:b/>
          <w:bCs/>
        </w:rPr>
        <w:t xml:space="preserve">$882.80</w:t>
      </w:r>
      <w:r>
        <w:t xml:space="preserve"> </w:t>
      </w:r>
      <w:r>
        <w:t xml:space="preserve">(48.6%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1,216.6 bn USD; terminal share 57.0%.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67.0%</w:t>
      </w:r>
      <w:r>
        <w:t xml:space="preserve"> </w:t>
      </w:r>
      <w:r>
        <w:t xml:space="preserve">vs consensus FY+1 74.6%.</w:t>
      </w:r>
    </w:p>
    <w:p>
      <w:pPr>
        <w:pStyle w:val="Compact"/>
        <w:numPr>
          <w:ilvl w:val="0"/>
          <w:numId w:val="1013"/>
        </w:numPr>
      </w:pPr>
      <w:r>
        <w:t xml:space="preserve">WACC (CAPM) = rf 5.2% + β 1.60 × ERP 5.0% = 13.2%.</w:t>
      </w:r>
    </w:p>
    <w:p>
      <w:pPr>
        <w:pStyle w:val="Compact"/>
        <w:numPr>
          <w:ilvl w:val="0"/>
          <w:numId w:val="1013"/>
        </w:numPr>
      </w:pPr>
      <w:r>
        <w:t xml:space="preserve">SOTP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NVDA price aggression; client PC slowdown from memory </w:t>
      </w:r>
      <w:r>
        <w:rPr>
          <w:rFonts w:hint="eastAsia"/>
        </w:rPr>
        <w:t xml:space="preserve">costs｜延期；NVDA压价；存储涨价拖累PC</w:t>
      </w:r>
      <w:r>
        <w:t xml:space="preserve"> | Falsifiers: DC GPU revenue below guide; Helios slips past </w:t>
      </w:r>
      <w:r>
        <w:rPr>
          <w:rFonts w:hint="eastAsia"/>
        </w:rPr>
        <w:t xml:space="preserve">2H26｜DC</w:t>
      </w:r>
      <w:r>
        <w:t xml:space="preserve"> </w:t>
      </w:r>
      <w:r>
        <w:rPr>
          <w:rFonts w:hint="eastAsia"/>
        </w:rPr>
        <w:t xml:space="preserve">GPU收入低于指引；Helios延后</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AMD_model_v20261013-1622.xlsx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2026-10-13T08:24:46Z</dcterms:created>
  <dcterms:modified xsi:type="dcterms:W3CDTF">2026-10-13T08:24:46Z</dcterms:modified>
</cp:coreProperties>
</file>

<file path=docProps/custom.xml><?xml version="1.0" encoding="utf-8"?>
<Properties xmlns="http://schemas.openxmlformats.org/officeDocument/2006/custom-properties" xmlns:vt="http://schemas.openxmlformats.org/officeDocument/2006/docPropsVTypes"/>
</file>