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5b6f315ab563c52e1ecb2b391b2d4089bca4c21"/>
    <w:p>
      <w:pPr>
        <w:pStyle w:val="Heading1"/>
      </w:pPr>
      <w:r>
        <w:t xml:space="preserve">ARM Arm Holdings plc — </w:t>
      </w:r>
      <w:r>
        <w:rPr>
          <w:rFonts w:hint="eastAsia"/>
        </w:rPr>
        <w:t xml:space="preserve">个股深度研究</w:t>
      </w:r>
      <w:r>
        <w:t xml:space="preserve"> </w:t>
      </w:r>
      <w:r>
        <w:rPr>
          <w:rFonts w:hint="eastAsia"/>
        </w:rPr>
        <w:t xml:space="preserve">(专业中文版)</w:t>
      </w:r>
      <w:r>
        <w:t xml:space="preserve"> v20261014-0758</w:t>
      </w:r>
    </w:p>
    <w:p>
      <w:pPr>
        <w:pStyle w:val="BlockText"/>
      </w:pPr>
      <w:r>
        <w:rPr>
          <w:rFonts w:hint="eastAsia"/>
        </w:rPr>
        <w:t xml:space="preserve">数据截至</w:t>
      </w:r>
      <w:r>
        <w:t xml:space="preserve"> 2026-10-14 07:58 </w:t>
      </w:r>
      <w:r>
        <w:rPr>
          <w:rFonts w:hint="eastAsia"/>
        </w:rPr>
        <w:t xml:space="preserve">SGT｜价格</w:t>
      </w:r>
      <w:r>
        <w:t xml:space="preserve"> </w:t>
      </w:r>
      <w:r>
        <w:rPr>
          <w:rFonts w:hint="eastAsia"/>
        </w:rPr>
        <w:t xml:space="preserve">$255.39｜市值</w:t>
      </w:r>
      <w:r>
        <w:t xml:space="preserve"> 272.8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ARM通过v9与CSS提升每颗芯片版税，并扩展到数据中心CPU；估值极高，市场隐含长期高增长，任何智能手机周期或客户冲突(如与高通诉讼、自研芯片与客户竞争)都会冲击预期。</w:t>
      </w:r>
    </w:p>
    <w:p>
      <w:pPr>
        <w:pStyle w:val="Compact"/>
        <w:numPr>
          <w:ilvl w:val="0"/>
          <w:numId w:val="1001"/>
        </w:numPr>
      </w:pPr>
      <w:r>
        <w:rPr>
          <w:rFonts w:hint="eastAsia"/>
          <w:b/>
          <w:bCs/>
        </w:rPr>
        <w:t xml:space="preserve">多头驱动</w:t>
      </w:r>
      <w:r>
        <w:t xml:space="preserve">: DC CPU share rises fast; CSS adoption; own-silicon </w:t>
      </w:r>
      <w:r>
        <w:rPr>
          <w:rFonts w:hint="eastAsia"/>
        </w:rPr>
        <w:t xml:space="preserve">wins｜DC</w:t>
      </w:r>
      <w:r>
        <w:t xml:space="preserve"> </w:t>
      </w:r>
      <w:r>
        <w:rPr>
          <w:rFonts w:hint="eastAsia"/>
        </w:rPr>
        <w:t xml:space="preserve">CPU份额快升；CSS普及；自研芯片获单</w:t>
      </w:r>
    </w:p>
    <w:p>
      <w:pPr>
        <w:pStyle w:val="Compact"/>
        <w:numPr>
          <w:ilvl w:val="0"/>
          <w:numId w:val="1001"/>
        </w:numPr>
      </w:pPr>
      <w:r>
        <w:rPr>
          <w:rFonts w:hint="eastAsia"/>
          <w:b/>
          <w:bCs/>
        </w:rPr>
        <w:t xml:space="preserve">空头驱动</w:t>
      </w:r>
      <w:r>
        <w:t xml:space="preserve">: RISC-V substitution, licensee pushback, SoftBank </w:t>
      </w:r>
      <w:r>
        <w:rPr>
          <w:rFonts w:hint="eastAsia"/>
        </w:rPr>
        <w:t xml:space="preserve">overhang｜RISC-V替代、客户反弹、软银持股压力</w:t>
      </w:r>
    </w:p>
    <w:p>
      <w:pPr>
        <w:pStyle w:val="Compact"/>
        <w:numPr>
          <w:ilvl w:val="0"/>
          <w:numId w:val="1001"/>
        </w:numPr>
      </w:pPr>
      <w:r>
        <w:rPr>
          <w:rFonts w:hint="eastAsia"/>
          <w:b/>
          <w:bCs/>
        </w:rPr>
        <w:t xml:space="preserve">证伪条件</w:t>
      </w:r>
      <w:r>
        <w:rPr>
          <w:b/>
          <w:bCs/>
        </w:rPr>
        <w:t xml:space="preserve"> Falsifiers</w:t>
      </w:r>
      <w:r>
        <w:t xml:space="preserve">: Royalty growth below smartphone+DC unit growth; licensing lumpiness without backlog </w:t>
      </w:r>
      <w:r>
        <w:rPr>
          <w:rFonts w:hint="eastAsia"/>
        </w:rPr>
        <w:t xml:space="preserve">support｜版税增速低于出货增速；授权收入无RPO支持</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CPU IP / Royalty </w:t>
      </w:r>
      <w:r>
        <w:rPr>
          <w:rFonts w:hint="eastAsia"/>
        </w:rPr>
        <w:t xml:space="preserve">CPU架构授权</w:t>
      </w:r>
    </w:p>
    <w:p>
      <w:pPr>
        <w:pStyle w:val="Compact"/>
        <w:numPr>
          <w:ilvl w:val="0"/>
          <w:numId w:val="1002"/>
        </w:numPr>
      </w:pPr>
      <w:r>
        <w:rPr>
          <w:rFonts w:hint="eastAsia"/>
        </w:rPr>
        <w:t xml:space="preserve">业务分部</w:t>
      </w:r>
      <w:r>
        <w:t xml:space="preserve"> Segments: Royalty </w:t>
      </w:r>
      <w:r>
        <w:rPr>
          <w:rFonts w:hint="eastAsia"/>
        </w:rPr>
        <w:t xml:space="preserve">版税；Licensing</w:t>
      </w:r>
      <w:r>
        <w:t xml:space="preserve"> </w:t>
      </w:r>
      <w:r>
        <w:rPr>
          <w:rFonts w:hint="eastAsia"/>
        </w:rPr>
        <w:t xml:space="preserve">授权；Compute</w:t>
      </w:r>
      <w:r>
        <w:t xml:space="preserve"> subsystems/own silicon </w:t>
      </w:r>
      <w:r>
        <w:rPr>
          <w:rFonts w:hint="eastAsia"/>
        </w:rPr>
        <w:t xml:space="preserve">计算子系统/自研芯片</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Arm Holdings plc researches, develops, licenses, and markets central processing unit (CPU) intellectual property (IP), graphics processing unit IP, systems IP, compute subsystems (CSS), and associated software, tools and related services. The company provides a product portfolio, including CPU IP, GPU and neural processing unit (NPU) accelerators, system IP such as interconnects, compute platform products including pre-integrated CSSs, and development tools and software. The company serves semiconductor companies, original equipment manufacturers (OEMs), cloud service providers (CSPs), and organizations developing chips for end markets such as smartphones, consumer electronics, industrial IoT, embedded systems, cloud data centers, networking, automotive, and robotics. It provides its products and services in the United States, China, Japan, Taiwan, Korea, and internationally. The company</w:t>
      </w:r>
    </w:p>
    <w:p>
      <w:pPr>
        <w:pStyle w:val="Compact"/>
        <w:numPr>
          <w:ilvl w:val="0"/>
          <w:numId w:val="1002"/>
        </w:numPr>
      </w:pPr>
      <w:r>
        <w:rPr>
          <w:rFonts w:hint="eastAsia"/>
        </w:rPr>
        <w:t xml:space="preserve">主要客户:</w:t>
      </w:r>
      <w:r>
        <w:t xml:space="preserve"> Apple, Qualcomm, MediaTek, NVDA (Grace/Vera), AWS (Graviton), Google (Axion), MSFT (Cobalt), </w:t>
      </w:r>
      <w:r>
        <w:rPr>
          <w:rFonts w:hint="eastAsia"/>
        </w:rPr>
        <w:t xml:space="preserve">SoftBank｜苹果、高通、联发科、NVDA、各大云厂自研CPU</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IP business: engineers; own-chip effort relies on </w:t>
      </w:r>
      <w:r>
        <w:rPr>
          <w:rFonts w:hint="eastAsia"/>
        </w:rPr>
        <w:t xml:space="preserve">TSMC｜IP业务依赖工程师；自研芯片依赖台积电</w:t>
      </w:r>
    </w:p>
    <w:p>
      <w:pPr>
        <w:pStyle w:val="Compact"/>
        <w:numPr>
          <w:ilvl w:val="0"/>
          <w:numId w:val="1003"/>
        </w:numPr>
      </w:pPr>
      <w:r>
        <w:rPr>
          <w:rFonts w:hint="eastAsia"/>
        </w:rPr>
        <w:t xml:space="preserve">竞争者</w:t>
      </w:r>
      <w:r>
        <w:t xml:space="preserve"> </w:t>
      </w:r>
      <w:r>
        <w:rPr>
          <w:rFonts w:hint="eastAsia"/>
        </w:rPr>
        <w:t xml:space="preserve">(含业外):</w:t>
      </w:r>
      <w:r>
        <w:t xml:space="preserve"> x86 (Intel/AMD), RISC-V (SiFive, Chinese </w:t>
      </w:r>
      <w:r>
        <w:rPr>
          <w:rFonts w:hint="eastAsia"/>
        </w:rPr>
        <w:t xml:space="preserve">vendors)｜x86、RISC-V</w:t>
      </w:r>
    </w:p>
    <w:p>
      <w:pPr>
        <w:pStyle w:val="Compact"/>
        <w:numPr>
          <w:ilvl w:val="0"/>
          <w:numId w:val="1003"/>
        </w:numPr>
      </w:pPr>
      <w:r>
        <w:rPr>
          <w:rFonts w:hint="eastAsia"/>
        </w:rPr>
        <w:t xml:space="preserve">瓶颈/监管:</w:t>
      </w:r>
      <w:r>
        <w:t xml:space="preserve"> Royalty-rate uplift (v9/CSS) adoption; data-center CPU </w:t>
      </w:r>
      <w:r>
        <w:rPr>
          <w:rFonts w:hint="eastAsia"/>
        </w:rPr>
        <w:t xml:space="preserve">share｜v9/CSS版税率提升速度；数据中心CPU份额</w:t>
      </w:r>
    </w:p>
    <w:p>
      <w:pPr>
        <w:pStyle w:val="Compact"/>
        <w:numPr>
          <w:ilvl w:val="0"/>
          <w:numId w:val="1003"/>
        </w:numPr>
      </w:pPr>
      <w:r>
        <w:rPr>
          <w:rFonts w:hint="eastAsia"/>
        </w:rPr>
        <w:t xml:space="preserve">关键KPI:</w:t>
      </w:r>
      <w:r>
        <w:t xml:space="preserve"> Royalty revenue, licensing revenue, RPO, v9 </w:t>
      </w:r>
      <w:r>
        <w:rPr>
          <w:rFonts w:hint="eastAsia"/>
        </w:rPr>
        <w:t xml:space="preserve">mix｜版税收入、授权收入、RPO、v9占比</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1.3 bn USD</w:t>
            </w:r>
          </w:p>
        </w:tc>
        <w:tc>
          <w:tcPr/>
          <w:p>
            <w:pPr>
              <w:pStyle w:val="Compact"/>
            </w:pPr>
            <w:r>
              <w:t xml:space="preserve">1.3 bn USD</w:t>
            </w:r>
          </w:p>
        </w:tc>
        <w:tc>
          <w:tcPr/>
          <w:p>
            <w:pPr>
              <w:pStyle w:val="Compact"/>
            </w:pPr>
            <w:r>
              <w:t xml:space="preserve">98.0 mn USD</w:t>
            </w:r>
          </w:p>
        </w:tc>
        <w:tc>
          <w:tcPr/>
          <w:p>
            <w:pPr>
              <w:pStyle w:val="Compact"/>
            </w:pPr>
            <w:r>
              <w:t xml:space="preserve">0.3 bn USD</w:t>
            </w:r>
          </w:p>
        </w:tc>
        <w:tc>
          <w:tcPr/>
          <w:p>
            <w:pPr>
              <w:pStyle w:val="Compact"/>
            </w:pPr>
            <w:r>
              <w:t xml:space="preserve">0.7 bn USD</w:t>
            </w:r>
          </w:p>
        </w:tc>
        <w:tc>
          <w:tcPr/>
          <w:p>
            <w:pPr>
              <w:pStyle w:val="Compact"/>
            </w:pPr>
            <w:r>
              <w:t xml:space="preserve">7.6%</w:t>
            </w:r>
          </w:p>
        </w:tc>
      </w:tr>
      <w:tr>
        <w:tc>
          <w:tcPr/>
          <w:p>
            <w:pPr>
              <w:pStyle w:val="Compact"/>
            </w:pPr>
            <w:r>
              <w:t xml:space="preserve">2026-03-31</w:t>
            </w:r>
          </w:p>
        </w:tc>
        <w:tc>
          <w:tcPr/>
          <w:p>
            <w:pPr>
              <w:pStyle w:val="Compact"/>
            </w:pPr>
            <w:r>
              <w:t xml:space="preserve">1.5 bn USD</w:t>
            </w:r>
          </w:p>
        </w:tc>
        <w:tc>
          <w:tcPr/>
          <w:p>
            <w:pPr>
              <w:pStyle w:val="Compact"/>
            </w:pPr>
            <w:r>
              <w:t xml:space="preserve">1.5 bn USD</w:t>
            </w:r>
          </w:p>
        </w:tc>
        <w:tc>
          <w:tcPr/>
          <w:p>
            <w:pPr>
              <w:pStyle w:val="Compact"/>
            </w:pPr>
            <w:r>
              <w:t xml:space="preserve">0.4 bn USD</w:t>
            </w:r>
          </w:p>
        </w:tc>
        <w:tc>
          <w:tcPr/>
          <w:p>
            <w:pPr>
              <w:pStyle w:val="Compact"/>
            </w:pPr>
            <w:r>
              <w:t xml:space="preserve">0.3 bn USD</w:t>
            </w:r>
          </w:p>
        </w:tc>
        <w:tc>
          <w:tcPr/>
          <w:p>
            <w:pPr>
              <w:pStyle w:val="Compact"/>
            </w:pPr>
            <w:r>
              <w:t xml:space="preserve">0.2 bn USD</w:t>
            </w:r>
          </w:p>
        </w:tc>
        <w:tc>
          <w:tcPr/>
          <w:p>
            <w:pPr>
              <w:pStyle w:val="Compact"/>
            </w:pPr>
            <w:r>
              <w:t xml:space="preserve">29.5%</w:t>
            </w:r>
          </w:p>
        </w:tc>
      </w:tr>
      <w:tr>
        <w:tc>
          <w:tcPr/>
          <w:p>
            <w:pPr>
              <w:pStyle w:val="Compact"/>
            </w:pPr>
            <w:r>
              <w:t xml:space="preserve">2025-12-31</w:t>
            </w:r>
          </w:p>
        </w:tc>
        <w:tc>
          <w:tcPr/>
          <w:p>
            <w:pPr>
              <w:pStyle w:val="Compact"/>
            </w:pPr>
            <w:r>
              <w:t xml:space="preserve">1.2 bn USD</w:t>
            </w:r>
          </w:p>
        </w:tc>
        <w:tc>
          <w:tcPr/>
          <w:p>
            <w:pPr>
              <w:pStyle w:val="Compact"/>
            </w:pPr>
            <w:r>
              <w:t xml:space="preserve">1.2 bn USD</w:t>
            </w:r>
          </w:p>
        </w:tc>
        <w:tc>
          <w:tcPr/>
          <w:p>
            <w:pPr>
              <w:pStyle w:val="Compact"/>
            </w:pPr>
            <w:r>
              <w:t xml:space="preserve">0.2 bn USD</w:t>
            </w:r>
          </w:p>
        </w:tc>
        <w:tc>
          <w:tcPr/>
          <w:p>
            <w:pPr>
              <w:pStyle w:val="Compact"/>
            </w:pPr>
            <w:r>
              <w:t xml:space="preserve">0.2 bn USD</w:t>
            </w:r>
          </w:p>
        </w:tc>
        <w:tc>
          <w:tcPr/>
          <w:p>
            <w:pPr>
              <w:pStyle w:val="Compact"/>
            </w:pPr>
            <w:r>
              <w:t xml:space="preserve">0.2 bn USD</w:t>
            </w:r>
          </w:p>
        </w:tc>
        <w:tc>
          <w:tcPr/>
          <w:p>
            <w:pPr>
              <w:pStyle w:val="Compact"/>
            </w:pPr>
            <w:r>
              <w:t xml:space="preserve">15.4%</w:t>
            </w:r>
          </w:p>
        </w:tc>
      </w:tr>
      <w:tr>
        <w:tc>
          <w:tcPr/>
          <w:p>
            <w:pPr>
              <w:pStyle w:val="Compact"/>
            </w:pPr>
            <w:r>
              <w:t xml:space="preserve">2025-09-30</w:t>
            </w:r>
          </w:p>
        </w:tc>
        <w:tc>
          <w:tcPr/>
          <w:p>
            <w:pPr>
              <w:pStyle w:val="Compact"/>
            </w:pPr>
            <w:r>
              <w:t xml:space="preserve">1.1 bn USD</w:t>
            </w:r>
          </w:p>
        </w:tc>
        <w:tc>
          <w:tcPr/>
          <w:p>
            <w:pPr>
              <w:pStyle w:val="Compact"/>
            </w:pPr>
            <w:r>
              <w:t xml:space="preserve">1.1 bn USD</w:t>
            </w:r>
          </w:p>
        </w:tc>
        <w:tc>
          <w:tcPr/>
          <w:p>
            <w:pPr>
              <w:pStyle w:val="Compact"/>
            </w:pPr>
            <w:r>
              <w:t xml:space="preserve">0.2 bn USD</w:t>
            </w:r>
          </w:p>
        </w:tc>
        <w:tc>
          <w:tcPr/>
          <w:p>
            <w:pPr>
              <w:pStyle w:val="Compact"/>
            </w:pPr>
            <w:r>
              <w:t xml:space="preserve">0.2 bn USD</w:t>
            </w:r>
          </w:p>
        </w:tc>
        <w:tc>
          <w:tcPr/>
          <w:p>
            <w:pPr>
              <w:pStyle w:val="Compact"/>
            </w:pPr>
            <w:r>
              <w:t xml:space="preserve">0.4 bn USD</w:t>
            </w:r>
          </w:p>
        </w:tc>
        <w:tc>
          <w:tcPr/>
          <w:p>
            <w:pPr>
              <w:pStyle w:val="Compact"/>
            </w:pPr>
            <w:r>
              <w:t xml:space="preserve">14.4%</w:t>
            </w:r>
          </w:p>
        </w:tc>
      </w:tr>
      <w:tr>
        <w:tc>
          <w:tcPr/>
          <w:p>
            <w:pPr>
              <w:pStyle w:val="Compact"/>
            </w:pPr>
            <w:r>
              <w:t xml:space="preserve">2025-06-30</w:t>
            </w:r>
          </w:p>
        </w:tc>
        <w:tc>
          <w:tcPr/>
          <w:p>
            <w:pPr>
              <w:pStyle w:val="Compact"/>
            </w:pPr>
            <w:r>
              <w:t xml:space="preserve">1.1 bn USD</w:t>
            </w:r>
          </w:p>
        </w:tc>
        <w:tc>
          <w:tcPr/>
          <w:p>
            <w:pPr>
              <w:pStyle w:val="Compact"/>
            </w:pPr>
            <w:r>
              <w:t xml:space="preserve">1.0 bn USD</w:t>
            </w:r>
          </w:p>
        </w:tc>
        <w:tc>
          <w:tcPr/>
          <w:p>
            <w:pPr>
              <w:pStyle w:val="Compact"/>
            </w:pPr>
            <w:r>
              <w:t xml:space="preserve">0.1 bn USD</w:t>
            </w:r>
          </w:p>
        </w:tc>
        <w:tc>
          <w:tcPr/>
          <w:p>
            <w:pPr>
              <w:pStyle w:val="Compact"/>
            </w:pPr>
            <w:r>
              <w:t xml:space="preserve">0.1 bn USD</w:t>
            </w:r>
          </w:p>
        </w:tc>
        <w:tc>
          <w:tcPr/>
          <w:p>
            <w:pPr>
              <w:pStyle w:val="Compact"/>
            </w:pPr>
            <w:r>
              <w:t xml:space="preserve">0.2 bn USD</w:t>
            </w:r>
          </w:p>
        </w:tc>
        <w:tc>
          <w:tcPr/>
          <w:p>
            <w:pPr>
              <w:pStyle w:val="Compact"/>
            </w:pPr>
            <w:r>
              <w:t xml:space="preserve">10.8%</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3.9 bn </w:t>
      </w:r>
      <w:r>
        <w:rPr>
          <w:rFonts w:hint="eastAsia"/>
        </w:rPr>
        <w:t xml:space="preserve">USD；总负债</w:t>
      </w:r>
      <w:r>
        <w:t xml:space="preserve"> 0.5 bn </w:t>
      </w:r>
      <w:r>
        <w:rPr>
          <w:rFonts w:hint="eastAsia"/>
        </w:rPr>
        <w:t xml:space="preserve">USD；净现金</w:t>
      </w:r>
      <w:r>
        <w:t xml:space="preserve"> 3.4 bn USD。TTM FCF 1.5 bn </w:t>
      </w:r>
      <w:r>
        <w:rPr>
          <w:rFonts w:hint="eastAsia"/>
        </w:rPr>
        <w:t xml:space="preserve">USD（FCF率</w:t>
      </w:r>
      <w:r>
        <w:t xml:space="preserve"> </w:t>
      </w:r>
      <w:r>
        <w:rPr>
          <w:rFonts w:hint="eastAsia"/>
        </w:rPr>
        <w:t xml:space="preserve">28.5%）。</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0.39</w:t>
            </w:r>
          </w:p>
        </w:tc>
        <w:tc>
          <w:tcPr/>
          <w:p>
            <w:pPr>
              <w:pStyle w:val="Compact"/>
            </w:pPr>
            <w:r>
              <w:t xml:space="preserve">0.33134</w:t>
            </w:r>
          </w:p>
        </w:tc>
        <w:tc>
          <w:tcPr/>
          <w:p>
            <w:pPr>
              <w:pStyle w:val="Compact"/>
            </w:pPr>
            <w:r>
              <w:t xml:space="preserve">0.177</w:t>
            </w:r>
          </w:p>
        </w:tc>
      </w:tr>
      <w:tr>
        <w:tc>
          <w:tcPr/>
          <w:p>
            <w:pPr>
              <w:pStyle w:val="Compact"/>
            </w:pPr>
            <w:r>
              <w:t xml:space="preserve">2025-12-31</w:t>
            </w:r>
          </w:p>
        </w:tc>
        <w:tc>
          <w:tcPr/>
          <w:p>
            <w:pPr>
              <w:pStyle w:val="Compact"/>
            </w:pPr>
            <w:r>
              <w:t xml:space="preserve">0.43</w:t>
            </w:r>
          </w:p>
        </w:tc>
        <w:tc>
          <w:tcPr/>
          <w:p>
            <w:pPr>
              <w:pStyle w:val="Compact"/>
            </w:pPr>
            <w:r>
              <w:t xml:space="preserve">0.40919</w:t>
            </w:r>
          </w:p>
        </w:tc>
        <w:tc>
          <w:tcPr/>
          <w:p>
            <w:pPr>
              <w:pStyle w:val="Compact"/>
            </w:pPr>
            <w:r>
              <w:t xml:space="preserve">0.0509</w:t>
            </w:r>
          </w:p>
        </w:tc>
      </w:tr>
      <w:tr>
        <w:tc>
          <w:tcPr/>
          <w:p>
            <w:pPr>
              <w:pStyle w:val="Compact"/>
            </w:pPr>
            <w:r>
              <w:t xml:space="preserve">2026-03-31</w:t>
            </w:r>
          </w:p>
        </w:tc>
        <w:tc>
          <w:tcPr/>
          <w:p>
            <w:pPr>
              <w:pStyle w:val="Compact"/>
            </w:pPr>
            <w:r>
              <w:t xml:space="preserve">0.6</w:t>
            </w:r>
          </w:p>
        </w:tc>
        <w:tc>
          <w:tcPr/>
          <w:p>
            <w:pPr>
              <w:pStyle w:val="Compact"/>
            </w:pPr>
            <w:r>
              <w:t xml:space="preserve">0.5793</w:t>
            </w:r>
          </w:p>
        </w:tc>
        <w:tc>
          <w:tcPr/>
          <w:p>
            <w:pPr>
              <w:pStyle w:val="Compact"/>
            </w:pPr>
            <w:r>
              <w:t xml:space="preserve">0.0357</w:t>
            </w:r>
          </w:p>
        </w:tc>
      </w:tr>
      <w:tr>
        <w:tc>
          <w:tcPr/>
          <w:p>
            <w:pPr>
              <w:pStyle w:val="Compact"/>
            </w:pPr>
            <w:r>
              <w:t xml:space="preserve">2026-06-30</w:t>
            </w:r>
          </w:p>
        </w:tc>
        <w:tc>
          <w:tcPr/>
          <w:p>
            <w:pPr>
              <w:pStyle w:val="Compact"/>
            </w:pPr>
            <w:r>
              <w:t xml:space="preserve">0.45</w:t>
            </w:r>
          </w:p>
        </w:tc>
        <w:tc>
          <w:tcPr/>
          <w:p>
            <w:pPr>
              <w:pStyle w:val="Compact"/>
            </w:pPr>
            <w:r>
              <w:t xml:space="preserve">0.4038</w:t>
            </w:r>
          </w:p>
        </w:tc>
        <w:tc>
          <w:tcPr/>
          <w:p>
            <w:pPr>
              <w:pStyle w:val="Compact"/>
            </w:pPr>
            <w:r>
              <w:t xml:space="preserve">0.1144</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2026-11-05</w:t>
      </w:r>
      <w:r>
        <w:rPr>
          <w:rFonts w:hint="eastAsia"/>
        </w:rPr>
        <w:t xml:space="preserve">；本季EPS一致预期</w:t>
      </w:r>
      <w:r>
        <w:t xml:space="preserve"> </w:t>
      </w:r>
      <w:r>
        <w:rPr>
          <w:rFonts w:hint="eastAsia"/>
        </w:rPr>
        <w:t xml:space="preserve">0.47338（28位分析师）；收入一致预期</w:t>
      </w:r>
      <w:r>
        <w:t xml:space="preserve"> 1.4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$28.71</w:t>
            </w:r>
          </w:p>
        </w:tc>
        <w:tc>
          <w:tcPr/>
          <w:p>
            <w:pPr>
              <w:pStyle w:val="Compact"/>
            </w:pPr>
            <w:r>
              <w:t xml:space="preserve">-88.8%</w:t>
            </w:r>
          </w:p>
        </w:tc>
      </w:tr>
      <w:tr>
        <w:tc>
          <w:tcPr/>
          <w:p>
            <w:pPr>
              <w:pStyle w:val="Compact"/>
            </w:pPr>
            <w:r>
              <w:t xml:space="preserve">2Q</w:t>
            </w:r>
          </w:p>
        </w:tc>
        <w:tc>
          <w:tcPr/>
          <w:p>
            <w:pPr>
              <w:pStyle w:val="Compact"/>
            </w:pPr>
            <w:r>
              <w:t xml:space="preserve">Base</w:t>
            </w:r>
          </w:p>
        </w:tc>
        <w:tc>
          <w:tcPr/>
          <w:p>
            <w:pPr>
              <w:pStyle w:val="Compact"/>
            </w:pPr>
            <w:r>
              <w:t xml:space="preserve">$60.68</w:t>
            </w:r>
          </w:p>
        </w:tc>
        <w:tc>
          <w:tcPr/>
          <w:p>
            <w:pPr>
              <w:pStyle w:val="Compact"/>
            </w:pPr>
            <w:r>
              <w:t xml:space="preserve">-76.2%</w:t>
            </w:r>
          </w:p>
        </w:tc>
      </w:tr>
      <w:tr>
        <w:tc>
          <w:tcPr/>
          <w:p>
            <w:pPr>
              <w:pStyle w:val="Compact"/>
            </w:pPr>
            <w:r>
              <w:t xml:space="preserve">2Q</w:t>
            </w:r>
          </w:p>
        </w:tc>
        <w:tc>
          <w:tcPr/>
          <w:p>
            <w:pPr>
              <w:pStyle w:val="Compact"/>
            </w:pPr>
            <w:r>
              <w:t xml:space="preserve">Bull</w:t>
            </w:r>
          </w:p>
        </w:tc>
        <w:tc>
          <w:tcPr/>
          <w:p>
            <w:pPr>
              <w:pStyle w:val="Compact"/>
            </w:pPr>
            <w:r>
              <w:t xml:space="preserve">$98.92</w:t>
            </w:r>
          </w:p>
        </w:tc>
        <w:tc>
          <w:tcPr/>
          <w:p>
            <w:pPr>
              <w:pStyle w:val="Compact"/>
            </w:pPr>
            <w:r>
              <w:t xml:space="preserve">-61.3%</w:t>
            </w:r>
          </w:p>
        </w:tc>
      </w:tr>
      <w:tr>
        <w:tc>
          <w:tcPr/>
          <w:p>
            <w:pPr>
              <w:pStyle w:val="Compact"/>
            </w:pPr>
            <w:r>
              <w:t xml:space="preserve">4Q</w:t>
            </w:r>
          </w:p>
        </w:tc>
        <w:tc>
          <w:tcPr/>
          <w:p>
            <w:pPr>
              <w:pStyle w:val="Compact"/>
            </w:pPr>
            <w:r>
              <w:t xml:space="preserve">Bear</w:t>
            </w:r>
          </w:p>
        </w:tc>
        <w:tc>
          <w:tcPr/>
          <w:p>
            <w:pPr>
              <w:pStyle w:val="Compact"/>
            </w:pPr>
            <w:r>
              <w:t xml:space="preserve">$29.26</w:t>
            </w:r>
          </w:p>
        </w:tc>
        <w:tc>
          <w:tcPr/>
          <w:p>
            <w:pPr>
              <w:pStyle w:val="Compact"/>
            </w:pPr>
            <w:r>
              <w:t xml:space="preserve">-88.5%</w:t>
            </w:r>
          </w:p>
        </w:tc>
      </w:tr>
      <w:tr>
        <w:tc>
          <w:tcPr/>
          <w:p>
            <w:pPr>
              <w:pStyle w:val="Compact"/>
            </w:pPr>
            <w:r>
              <w:t xml:space="preserve">4Q</w:t>
            </w:r>
          </w:p>
        </w:tc>
        <w:tc>
          <w:tcPr/>
          <w:p>
            <w:pPr>
              <w:pStyle w:val="Compact"/>
            </w:pPr>
            <w:r>
              <w:t xml:space="preserve">Base</w:t>
            </w:r>
          </w:p>
        </w:tc>
        <w:tc>
          <w:tcPr/>
          <w:p>
            <w:pPr>
              <w:pStyle w:val="Compact"/>
            </w:pPr>
            <w:r>
              <w:t xml:space="preserve">$68.34</w:t>
            </w:r>
          </w:p>
        </w:tc>
        <w:tc>
          <w:tcPr/>
          <w:p>
            <w:pPr>
              <w:pStyle w:val="Compact"/>
            </w:pPr>
            <w:r>
              <w:t xml:space="preserve">-73.2%</w:t>
            </w:r>
          </w:p>
        </w:tc>
      </w:tr>
      <w:tr>
        <w:tc>
          <w:tcPr/>
          <w:p>
            <w:pPr>
              <w:pStyle w:val="Compact"/>
            </w:pPr>
            <w:r>
              <w:t xml:space="preserve">4Q</w:t>
            </w:r>
          </w:p>
        </w:tc>
        <w:tc>
          <w:tcPr/>
          <w:p>
            <w:pPr>
              <w:pStyle w:val="Compact"/>
            </w:pPr>
            <w:r>
              <w:t xml:space="preserve">Bull</w:t>
            </w:r>
          </w:p>
        </w:tc>
        <w:tc>
          <w:tcPr/>
          <w:p>
            <w:pPr>
              <w:pStyle w:val="Compact"/>
            </w:pPr>
            <w:r>
              <w:t xml:space="preserve">$118.05</w:t>
            </w:r>
          </w:p>
        </w:tc>
        <w:tc>
          <w:tcPr/>
          <w:p>
            <w:pPr>
              <w:pStyle w:val="Compact"/>
            </w:pPr>
            <w:r>
              <w:t xml:space="preserve">-53.8%</w:t>
            </w:r>
          </w:p>
        </w:tc>
      </w:tr>
      <w:tr>
        <w:tc>
          <w:tcPr/>
          <w:p>
            <w:pPr>
              <w:pStyle w:val="Compact"/>
            </w:pPr>
            <w:r>
              <w:t xml:space="preserve">6Q</w:t>
            </w:r>
          </w:p>
        </w:tc>
        <w:tc>
          <w:tcPr/>
          <w:p>
            <w:pPr>
              <w:pStyle w:val="Compact"/>
            </w:pPr>
            <w:r>
              <w:t xml:space="preserve">Bear</w:t>
            </w:r>
          </w:p>
        </w:tc>
        <w:tc>
          <w:tcPr/>
          <w:p>
            <w:pPr>
              <w:pStyle w:val="Compact"/>
            </w:pPr>
            <w:r>
              <w:t xml:space="preserve">$29.83</w:t>
            </w:r>
          </w:p>
        </w:tc>
        <w:tc>
          <w:tcPr/>
          <w:p>
            <w:pPr>
              <w:pStyle w:val="Compact"/>
            </w:pPr>
            <w:r>
              <w:t xml:space="preserve">-88.3%</w:t>
            </w:r>
          </w:p>
        </w:tc>
      </w:tr>
      <w:tr>
        <w:tc>
          <w:tcPr/>
          <w:p>
            <w:pPr>
              <w:pStyle w:val="Compact"/>
            </w:pPr>
            <w:r>
              <w:t xml:space="preserve">6Q</w:t>
            </w:r>
          </w:p>
        </w:tc>
        <w:tc>
          <w:tcPr/>
          <w:p>
            <w:pPr>
              <w:pStyle w:val="Compact"/>
            </w:pPr>
            <w:r>
              <w:t xml:space="preserve">Base</w:t>
            </w:r>
          </w:p>
        </w:tc>
        <w:tc>
          <w:tcPr/>
          <w:p>
            <w:pPr>
              <w:pStyle w:val="Compact"/>
            </w:pPr>
            <w:r>
              <w:t xml:space="preserve">$77.00</w:t>
            </w:r>
          </w:p>
        </w:tc>
        <w:tc>
          <w:tcPr/>
          <w:p>
            <w:pPr>
              <w:pStyle w:val="Compact"/>
            </w:pPr>
            <w:r>
              <w:t xml:space="preserve">-69.8%</w:t>
            </w:r>
          </w:p>
        </w:tc>
      </w:tr>
      <w:tr>
        <w:tc>
          <w:tcPr/>
          <w:p>
            <w:pPr>
              <w:pStyle w:val="Compact"/>
            </w:pPr>
            <w:r>
              <w:t xml:space="preserve">6Q</w:t>
            </w:r>
          </w:p>
        </w:tc>
        <w:tc>
          <w:tcPr/>
          <w:p>
            <w:pPr>
              <w:pStyle w:val="Compact"/>
            </w:pPr>
            <w:r>
              <w:t xml:space="preserve">Bull</w:t>
            </w:r>
          </w:p>
        </w:tc>
        <w:tc>
          <w:tcPr/>
          <w:p>
            <w:pPr>
              <w:pStyle w:val="Compact"/>
            </w:pPr>
            <w:r>
              <w:t xml:space="preserve">$140.74</w:t>
            </w:r>
          </w:p>
        </w:tc>
        <w:tc>
          <w:tcPr/>
          <w:p>
            <w:pPr>
              <w:pStyle w:val="Compact"/>
            </w:pPr>
            <w:r>
              <w:t xml:space="preserve">-44.9%</w:t>
            </w:r>
          </w:p>
        </w:tc>
      </w:tr>
      <w:tr>
        <w:tc>
          <w:tcPr/>
          <w:p>
            <w:pPr>
              <w:pStyle w:val="Compact"/>
            </w:pPr>
            <w:r>
              <w:t xml:space="preserve">8Q</w:t>
            </w:r>
          </w:p>
        </w:tc>
        <w:tc>
          <w:tcPr/>
          <w:p>
            <w:pPr>
              <w:pStyle w:val="Compact"/>
            </w:pPr>
            <w:r>
              <w:t xml:space="preserve">Bear</w:t>
            </w:r>
          </w:p>
        </w:tc>
        <w:tc>
          <w:tcPr/>
          <w:p>
            <w:pPr>
              <w:pStyle w:val="Compact"/>
            </w:pPr>
            <w:r>
              <w:t xml:space="preserve">$30.44</w:t>
            </w:r>
          </w:p>
        </w:tc>
        <w:tc>
          <w:tcPr/>
          <w:p>
            <w:pPr>
              <w:pStyle w:val="Compact"/>
            </w:pPr>
            <w:r>
              <w:t xml:space="preserve">-88.1%</w:t>
            </w:r>
          </w:p>
        </w:tc>
      </w:tr>
      <w:tr>
        <w:tc>
          <w:tcPr/>
          <w:p>
            <w:pPr>
              <w:pStyle w:val="Compact"/>
            </w:pPr>
            <w:r>
              <w:t xml:space="preserve">8Q</w:t>
            </w:r>
          </w:p>
        </w:tc>
        <w:tc>
          <w:tcPr/>
          <w:p>
            <w:pPr>
              <w:pStyle w:val="Compact"/>
            </w:pPr>
            <w:r>
              <w:t xml:space="preserve">Base</w:t>
            </w:r>
          </w:p>
        </w:tc>
        <w:tc>
          <w:tcPr/>
          <w:p>
            <w:pPr>
              <w:pStyle w:val="Compact"/>
            </w:pPr>
            <w:r>
              <w:t xml:space="preserve">$86.77</w:t>
            </w:r>
          </w:p>
        </w:tc>
        <w:tc>
          <w:tcPr/>
          <w:p>
            <w:pPr>
              <w:pStyle w:val="Compact"/>
            </w:pPr>
            <w:r>
              <w:t xml:space="preserve">-66.0%</w:t>
            </w:r>
          </w:p>
        </w:tc>
      </w:tr>
      <w:tr>
        <w:tc>
          <w:tcPr/>
          <w:p>
            <w:pPr>
              <w:pStyle w:val="Compact"/>
            </w:pPr>
            <w:r>
              <w:t xml:space="preserve">8Q</w:t>
            </w:r>
          </w:p>
        </w:tc>
        <w:tc>
          <w:tcPr/>
          <w:p>
            <w:pPr>
              <w:pStyle w:val="Compact"/>
            </w:pPr>
            <w:r>
              <w:t xml:space="preserve">Bull</w:t>
            </w:r>
          </w:p>
        </w:tc>
        <w:tc>
          <w:tcPr/>
          <w:p>
            <w:pPr>
              <w:pStyle w:val="Compact"/>
            </w:pPr>
            <w:r>
              <w:t xml:space="preserve">$167.61</w:t>
            </w:r>
          </w:p>
        </w:tc>
        <w:tc>
          <w:tcPr/>
          <w:p>
            <w:pPr>
              <w:pStyle w:val="Compact"/>
            </w:pPr>
            <w:r>
              <w:t xml:space="preserve">-34.4%</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102.7x</w:t>
            </w:r>
          </w:p>
        </w:tc>
      </w:tr>
      <w:tr>
        <w:tc>
          <w:tcPr/>
          <w:p>
            <w:pPr>
              <w:pStyle w:val="Compact"/>
            </w:pPr>
            <w:r>
              <w:t xml:space="preserve">4Q</w:t>
            </w:r>
          </w:p>
        </w:tc>
        <w:tc>
          <w:tcPr/>
          <w:p>
            <w:pPr>
              <w:pStyle w:val="Compact"/>
            </w:pPr>
            <w:r>
              <w:t xml:space="preserve">85.0x</w:t>
            </w:r>
          </w:p>
        </w:tc>
      </w:tr>
      <w:tr>
        <w:tc>
          <w:tcPr/>
          <w:p>
            <w:pPr>
              <w:pStyle w:val="Compact"/>
            </w:pPr>
            <w:r>
              <w:t xml:space="preserve">6Q</w:t>
            </w:r>
          </w:p>
        </w:tc>
        <w:tc>
          <w:tcPr/>
          <w:p>
            <w:pPr>
              <w:pStyle w:val="Compact"/>
            </w:pPr>
            <w:r>
              <w:t xml:space="preserve">70.4x</w:t>
            </w:r>
          </w:p>
        </w:tc>
      </w:tr>
      <w:tr>
        <w:tc>
          <w:tcPr/>
          <w:p>
            <w:pPr>
              <w:pStyle w:val="Compact"/>
            </w:pPr>
            <w:r>
              <w:t xml:space="preserve">8Q</w:t>
            </w:r>
          </w:p>
        </w:tc>
        <w:tc>
          <w:tcPr/>
          <w:p>
            <w:pPr>
              <w:pStyle w:val="Compact"/>
            </w:pPr>
            <w:r>
              <w:t xml:space="preserve">58.3x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18.1%</w:t>
            </w:r>
          </w:p>
        </w:tc>
        <w:tc>
          <w:tcPr/>
          <w:p>
            <w:pPr>
              <w:pStyle w:val="Compact"/>
            </w:pPr>
            <w:r>
              <w:t xml:space="preserve">32.0%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$26.80</w:t>
            </w:r>
          </w:p>
        </w:tc>
        <w:tc>
          <w:tcPr/>
          <w:p>
            <w:pPr>
              <w:pStyle w:val="Compact"/>
            </w:pPr>
            <w:r>
              <w:t xml:space="preserve">-89.5%</w:t>
            </w:r>
          </w:p>
        </w:tc>
      </w:tr>
      <w:tr>
        <w:tc>
          <w:tcPr/>
          <w:p>
            <w:pPr>
              <w:pStyle w:val="Compact"/>
            </w:pPr>
            <w:r>
              <w:t xml:space="preserve">Base</w:t>
            </w:r>
          </w:p>
        </w:tc>
        <w:tc>
          <w:tcPr/>
          <w:p>
            <w:pPr>
              <w:pStyle w:val="Compact"/>
            </w:pPr>
            <w:r>
              <w:t xml:space="preserve">36.2%</w:t>
            </w:r>
          </w:p>
        </w:tc>
        <w:tc>
          <w:tcPr/>
          <w:p>
            <w:pPr>
              <w:pStyle w:val="Compact"/>
            </w:pPr>
            <w:r>
              <w:t xml:space="preserve">40.0%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$67.29</w:t>
            </w:r>
          </w:p>
        </w:tc>
        <w:tc>
          <w:tcPr/>
          <w:p>
            <w:pPr>
              <w:pStyle w:val="Compact"/>
            </w:pPr>
            <w:r>
              <w:t xml:space="preserve">-73.7%</w:t>
            </w:r>
          </w:p>
        </w:tc>
      </w:tr>
      <w:tr>
        <w:tc>
          <w:tcPr/>
          <w:p>
            <w:pPr>
              <w:pStyle w:val="Compact"/>
            </w:pPr>
            <w:r>
              <w:t xml:space="preserve">Bull</w:t>
            </w:r>
          </w:p>
        </w:tc>
        <w:tc>
          <w:tcPr/>
          <w:p>
            <w:pPr>
              <w:pStyle w:val="Compact"/>
            </w:pPr>
            <w:r>
              <w:t xml:space="preserve">47.1%</w:t>
            </w:r>
          </w:p>
        </w:tc>
        <w:tc>
          <w:tcPr/>
          <w:p>
            <w:pPr>
              <w:pStyle w:val="Compact"/>
            </w:pPr>
            <w:r>
              <w:t xml:space="preserve">46.0%</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$122.37</w:t>
            </w:r>
          </w:p>
        </w:tc>
        <w:tc>
          <w:tcPr/>
          <w:p>
            <w:pPr>
              <w:pStyle w:val="Compact"/>
            </w:pPr>
            <w:r>
              <w:t xml:space="preserve">-52.1%</w:t>
            </w:r>
          </w:p>
        </w:tc>
      </w:tr>
    </w:tbl>
    <w:p>
      <w:pPr>
        <w:pStyle w:val="BodyText"/>
      </w:pPr>
      <w:r>
        <w:rPr>
          <w:rFonts w:hint="eastAsia"/>
        </w:rPr>
        <w:t xml:space="preserve">概率加权价值</w:t>
      </w:r>
      <w:r>
        <w:t xml:space="preserve"> </w:t>
      </w:r>
      <w:r>
        <w:rPr>
          <w:b/>
          <w:bCs/>
        </w:rPr>
        <w:t xml:space="preserve">$70.94</w:t>
      </w:r>
      <w:r>
        <w:rPr>
          <w:rFonts w:hint="eastAsia"/>
        </w:rPr>
        <w:t xml:space="preserve">（相对现价</w:t>
      </w:r>
      <w:r>
        <w:t xml:space="preserve"> </w:t>
      </w:r>
      <w:r>
        <w:rPr>
          <w:rFonts w:hint="eastAsia"/>
        </w:rPr>
        <w:t xml:space="preserve">-72.2%）。</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68.5 bn </w:t>
      </w:r>
      <w:r>
        <w:rPr>
          <w:rFonts w:hint="eastAsia"/>
        </w:rPr>
        <w:t xml:space="preserve">USD；终值占比</w:t>
      </w:r>
      <w:r>
        <w:t xml:space="preserve"> 50.4%。</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78.2%</w:t>
      </w:r>
      <w:r>
        <w:rPr>
          <w:rFonts w:hint="eastAsia"/>
        </w:rPr>
        <w:t xml:space="preserve">；一致预期FY+1增速</w:t>
      </w:r>
      <w:r>
        <w:t xml:space="preserve"> 36.2%。</w:t>
      </w:r>
    </w:p>
    <w:p>
      <w:pPr>
        <w:numPr>
          <w:ilvl w:val="0"/>
          <w:numId w:val="1005"/>
        </w:numPr>
      </w:pPr>
      <w:r>
        <w:t xml:space="preserve">WACC (CAPM) = rf 5.2% + β 1.60 × ERP 5.0% = 13.2%。</w:t>
      </w:r>
    </w:p>
    <w:p>
      <w:pPr>
        <w:numPr>
          <w:ilvl w:val="0"/>
          <w:numId w:val="1005"/>
        </w:numPr>
      </w:pPr>
      <w:r>
        <w:t xml:space="preserve">SOTP segments </w:t>
      </w:r>
      <w:r>
        <w:rPr>
          <w:rFonts w:hint="eastAsia"/>
        </w:rPr>
        <w:t xml:space="preserve">分部:</w:t>
      </w:r>
      <w:r>
        <w:t xml:space="preserve"> Royalty </w:t>
      </w:r>
      <w:r>
        <w:rPr>
          <w:rFonts w:hint="eastAsia"/>
        </w:rPr>
        <w:t xml:space="preserve">版税;</w:t>
      </w:r>
      <w:r>
        <w:t xml:space="preserve"> Licensing </w:t>
      </w:r>
      <w:r>
        <w:rPr>
          <w:rFonts w:hint="eastAsia"/>
        </w:rPr>
        <w:t xml:space="preserve">授权;</w:t>
      </w:r>
      <w:r>
        <w:t xml:space="preserve"> Compute subsystems/own silicon </w:t>
      </w:r>
      <w:r>
        <w:rPr>
          <w:rFonts w:hint="eastAsia"/>
        </w:rPr>
        <w:t xml:space="preserve">计算子系统/自研芯片.</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ARM | 272.8 bn USD | 52.2x | 83.4x | 22.4% | 97.5% | 0.5% |</w:t>
      </w:r>
      <w:r>
        <w:t xml:space="preserve"> </w:t>
      </w:r>
      <w:r>
        <w:t xml:space="preserve">| QCOM | 188.9 bn USD | 4.4x | 17.3x | -4.0% | 54.2% | 5.4% |</w:t>
      </w:r>
      <w:r>
        <w:t xml:space="preserve"> </w:t>
      </w:r>
      <w:r>
        <w:t xml:space="preserve">| CDNS | 92.0 bn USD | 16.0x | 34.9x | 24.2% | 85.9% | 1.7% |</w:t>
      </w:r>
      <w:r>
        <w:t xml:space="preserve"> </w:t>
      </w:r>
      <w:r>
        <w:t xml:space="preserve">| SNPS | 94.8 bn USD | 10.8x | 26.5x | 42.4% | 82.9% | 3.6%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RISC-V substitution, licensee pushback, SoftBank </w:t>
      </w:r>
      <w:r>
        <w:rPr>
          <w:rFonts w:hint="eastAsia"/>
        </w:rPr>
        <w:t xml:space="preserve">overhang｜RISC-V替代、客户反弹、软银持股压力</w:t>
      </w:r>
    </w:p>
    <w:p>
      <w:pPr>
        <w:pStyle w:val="Compact"/>
        <w:numPr>
          <w:ilvl w:val="0"/>
          <w:numId w:val="1006"/>
        </w:numPr>
      </w:pPr>
      <w:r>
        <w:rPr>
          <w:rFonts w:hint="eastAsia"/>
        </w:rPr>
        <w:t xml:space="preserve">证伪指标:</w:t>
      </w:r>
      <w:r>
        <w:t xml:space="preserve"> Royalty growth below smartphone+DC unit growth; licensing lumpiness without backlog </w:t>
      </w:r>
      <w:r>
        <w:rPr>
          <w:rFonts w:hint="eastAsia"/>
        </w:rPr>
        <w:t xml:space="preserve">support｜版税增速低于出货增速；授权收入无RPO支持</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255.4</w:t>
            </w:r>
          </w:p>
        </w:tc>
        <w:tc>
          <w:tcPr/>
          <w:p>
            <w:pPr>
              <w:pStyle w:val="Compact"/>
            </w:pPr>
            <w:r>
              <w:t xml:space="preserve">Yahoo Finance quote, fetched 2026-10-14T07:58 SGT</w:t>
            </w:r>
          </w:p>
        </w:tc>
      </w:tr>
      <w:tr>
        <w:tc>
          <w:tcPr/>
          <w:p>
            <w:pPr>
              <w:pStyle w:val="Compact"/>
            </w:pPr>
            <w:r>
              <w:t xml:space="preserve">Market cap </w:t>
            </w:r>
            <w:r>
              <w:rPr>
                <w:rFonts w:hint="eastAsia"/>
              </w:rPr>
              <w:t xml:space="preserve">市值</w:t>
            </w:r>
          </w:p>
        </w:tc>
        <w:tc>
          <w:tcPr/>
          <w:p>
            <w:pPr>
              <w:pStyle w:val="Compact"/>
            </w:pPr>
            <w:r>
              <w:t xml:space="preserve">2.728e+11</w:t>
            </w:r>
          </w:p>
        </w:tc>
        <w:tc>
          <w:tcPr/>
          <w:p>
            <w:pPr>
              <w:pStyle w:val="Compact"/>
            </w:pPr>
            <w:r>
              <w:t xml:space="preserve">Yahoo info.marketCap 2026-10-14T07:58</w:t>
            </w:r>
          </w:p>
        </w:tc>
      </w:tr>
      <w:tr>
        <w:tc>
          <w:tcPr/>
          <w:p>
            <w:pPr>
              <w:pStyle w:val="Compact"/>
            </w:pPr>
            <w:r>
              <w:t xml:space="preserve">Cash </w:t>
            </w:r>
            <w:r>
              <w:rPr>
                <w:rFonts w:hint="eastAsia"/>
              </w:rPr>
              <w:t xml:space="preserve">现金</w:t>
            </w:r>
          </w:p>
        </w:tc>
        <w:tc>
          <w:tcPr/>
          <w:p>
            <w:pPr>
              <w:pStyle w:val="Compact"/>
            </w:pPr>
            <w:r>
              <w:t xml:space="preserve">3.888e+09</w:t>
            </w:r>
          </w:p>
        </w:tc>
        <w:tc>
          <w:tcPr/>
          <w:p>
            <w:pPr>
              <w:pStyle w:val="Compact"/>
            </w:pPr>
            <w:r>
              <w:t xml:space="preserve">Yahoo info.totalCash (latest filing) 2026-10-14T07:58</w:t>
            </w:r>
          </w:p>
        </w:tc>
      </w:tr>
      <w:tr>
        <w:tc>
          <w:tcPr/>
          <w:p>
            <w:pPr>
              <w:pStyle w:val="Compact"/>
            </w:pPr>
            <w:r>
              <w:t xml:space="preserve">Debt </w:t>
            </w:r>
            <w:r>
              <w:rPr>
                <w:rFonts w:hint="eastAsia"/>
              </w:rPr>
              <w:t xml:space="preserve">负债</w:t>
            </w:r>
          </w:p>
        </w:tc>
        <w:tc>
          <w:tcPr/>
          <w:p>
            <w:pPr>
              <w:pStyle w:val="Compact"/>
            </w:pPr>
            <w:r>
              <w:t xml:space="preserve">4.85e+08</w:t>
            </w:r>
          </w:p>
        </w:tc>
        <w:tc>
          <w:tcPr/>
          <w:p>
            <w:pPr>
              <w:pStyle w:val="Compact"/>
            </w:pPr>
            <w:r>
              <w:t xml:space="preserve">Yahoo info.totalDebt (latest filing) 2026-10-14T07:58</w:t>
            </w:r>
          </w:p>
        </w:tc>
      </w:tr>
      <w:tr>
        <w:tc>
          <w:tcPr/>
          <w:p>
            <w:pPr>
              <w:pStyle w:val="Compact"/>
            </w:pPr>
            <w:r>
              <w:t xml:space="preserve">Revenue TTM </w:t>
            </w:r>
            <w:r>
              <w:rPr>
                <w:rFonts w:hint="eastAsia"/>
              </w:rPr>
              <w:t xml:space="preserve">收入</w:t>
            </w:r>
          </w:p>
        </w:tc>
        <w:tc>
          <w:tcPr/>
          <w:p>
            <w:pPr>
              <w:pStyle w:val="Compact"/>
            </w:pPr>
            <w:r>
              <w:t xml:space="preserve">5.156e+09</w:t>
            </w:r>
          </w:p>
        </w:tc>
        <w:tc>
          <w:tcPr/>
          <w:p>
            <w:pPr>
              <w:pStyle w:val="Compact"/>
            </w:pPr>
            <w:r>
              <w:t xml:space="preserve">Yahoo info.totalRevenue (TTM, USD) 2026-10-14T07:58</w:t>
            </w:r>
          </w:p>
        </w:tc>
      </w:tr>
      <w:tr>
        <w:tc>
          <w:tcPr/>
          <w:p>
            <w:pPr>
              <w:pStyle w:val="Compact"/>
            </w:pPr>
            <w:r>
              <w:t xml:space="preserve">FCF TTM </w:t>
            </w:r>
            <w:r>
              <w:rPr>
                <w:rFonts w:hint="eastAsia"/>
              </w:rPr>
              <w:t xml:space="preserve">自由现金流</w:t>
            </w:r>
          </w:p>
        </w:tc>
        <w:tc>
          <w:tcPr/>
          <w:p>
            <w:pPr>
              <w:pStyle w:val="Compact"/>
            </w:pPr>
            <w:r>
              <w:t xml:space="preserve">1.472e+09</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3.789</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0.0524</w:t>
            </w:r>
          </w:p>
        </w:tc>
        <w:tc>
          <w:tcPr/>
          <w:p>
            <w:pPr>
              <w:pStyle w:val="Compact"/>
            </w:pPr>
            <w:r>
              <w:t xml:space="preserve">FRED DGS10 2026-10-09</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0.2314</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0.3623</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1.60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0.3623</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0.2855</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0.4</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ARM_model_v20261014-0758.xlsx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data/snapshots/20261014-0758</w:t>
      </w:r>
      <w:r>
        <w:t xml:space="preserve"> </w:t>
      </w:r>
      <w:r>
        <w:t xml:space="preserve">(immutable) | Fetched 2026-10-14 07:58 SGT | Generated 2026-10-14 07:58 SGT</w:t>
      </w:r>
    </w:p>
    <w:p>
      <w:pPr>
        <w:pStyle w:val="Compact"/>
        <w:numPr>
          <w:ilvl w:val="0"/>
          <w:numId w:val="1007"/>
        </w:numPr>
      </w:pPr>
      <w:r>
        <w:t xml:space="preserve">Version: v20261014-0758.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v20261014-0758: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2026-11-05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ARM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ARM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ARM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ARM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ARM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2a683aa415e2b66bff28c104cb53a089c0f1ec5"/>
    <w:p>
      <w:pPr>
        <w:pStyle w:val="Heading1"/>
      </w:pPr>
      <w:r>
        <w:t xml:space="preserve">ARM Arm Holdings plc — Equity Deep Dive (Professional English) v20261014-0758</w:t>
      </w:r>
    </w:p>
    <w:p>
      <w:pPr>
        <w:pStyle w:val="BlockText"/>
      </w:pPr>
      <w:r>
        <w:t xml:space="preserve">Data as of 2026-10-14 07:58 SGT | Price $255.39 | Mkt cap 272.8 bn USD | Reporting currency USD | Not investment advice.</w:t>
      </w:r>
    </w:p>
    <w:bookmarkStart w:id="39" w:name="investment-thesis-hypothesis"/>
    <w:p>
      <w:pPr>
        <w:pStyle w:val="Heading2"/>
      </w:pPr>
      <w:r>
        <w:t xml:space="preserve">1. Investment thesis (HYPOTHESIS)</w:t>
      </w:r>
    </w:p>
    <w:p>
      <w:pPr>
        <w:pStyle w:val="FirstParagraph"/>
      </w:pPr>
      <w:r>
        <w:t xml:space="preserve">ARM lifts per-chip royalties via v9 and CSS and is expanding into data-center CPUs. The valuation is very rich and implies long-duration high growth; smartphone cycles or customer conflicts (QCOM litigation, own silicon competing with licensees) can hit expectations.</w:t>
      </w:r>
    </w:p>
    <w:p>
      <w:pPr>
        <w:pStyle w:val="Compact"/>
        <w:numPr>
          <w:ilvl w:val="0"/>
          <w:numId w:val="1009"/>
        </w:numPr>
      </w:pPr>
      <w:r>
        <w:rPr>
          <w:b/>
          <w:bCs/>
        </w:rPr>
        <w:t xml:space="preserve">Bull drivers</w:t>
      </w:r>
      <w:r>
        <w:t xml:space="preserve">: DC CPU share rises fast; CSS adoption; own-silicon </w:t>
      </w:r>
      <w:r>
        <w:rPr>
          <w:rFonts w:hint="eastAsia"/>
        </w:rPr>
        <w:t xml:space="preserve">wins｜DC</w:t>
      </w:r>
      <w:r>
        <w:t xml:space="preserve"> </w:t>
      </w:r>
      <w:r>
        <w:rPr>
          <w:rFonts w:hint="eastAsia"/>
        </w:rPr>
        <w:t xml:space="preserve">CPU份额快升；CSS普及；自研芯片获单</w:t>
      </w:r>
    </w:p>
    <w:p>
      <w:pPr>
        <w:pStyle w:val="Compact"/>
        <w:numPr>
          <w:ilvl w:val="0"/>
          <w:numId w:val="1009"/>
        </w:numPr>
      </w:pPr>
      <w:r>
        <w:rPr>
          <w:b/>
          <w:bCs/>
        </w:rPr>
        <w:t xml:space="preserve">Bear drivers</w:t>
      </w:r>
      <w:r>
        <w:t xml:space="preserve">: RISC-V substitution, licensee pushback, SoftBank </w:t>
      </w:r>
      <w:r>
        <w:rPr>
          <w:rFonts w:hint="eastAsia"/>
        </w:rPr>
        <w:t xml:space="preserve">overhang｜RISC-V替代、客户反弹、软银持股压力</w:t>
      </w:r>
    </w:p>
    <w:p>
      <w:pPr>
        <w:pStyle w:val="Compact"/>
        <w:numPr>
          <w:ilvl w:val="0"/>
          <w:numId w:val="1009"/>
        </w:numPr>
      </w:pPr>
      <w:r>
        <w:rPr>
          <w:b/>
          <w:bCs/>
        </w:rPr>
        <w:t xml:space="preserve">Falsifiers</w:t>
      </w:r>
      <w:r>
        <w:t xml:space="preserve">: Royalty growth below smartphone+DC unit growth; licensing lumpiness without backlog </w:t>
      </w:r>
      <w:r>
        <w:rPr>
          <w:rFonts w:hint="eastAsia"/>
        </w:rPr>
        <w:t xml:space="preserve">support｜版税增速低于出货增速；授权收入无RPO支持</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CPU IP / Royalty </w:t>
      </w:r>
      <w:r>
        <w:rPr>
          <w:rFonts w:hint="eastAsia"/>
        </w:rPr>
        <w:t xml:space="preserve">CPU架构授权</w:t>
      </w:r>
      <w:r>
        <w:t xml:space="preserve"> | Segments: Royalty </w:t>
      </w:r>
      <w:r>
        <w:rPr>
          <w:rFonts w:hint="eastAsia"/>
        </w:rPr>
        <w:t xml:space="preserve">版税;</w:t>
      </w:r>
      <w:r>
        <w:t xml:space="preserve"> Licensing </w:t>
      </w:r>
      <w:r>
        <w:rPr>
          <w:rFonts w:hint="eastAsia"/>
        </w:rPr>
        <w:t xml:space="preserve">授权;</w:t>
      </w:r>
      <w:r>
        <w:t xml:space="preserve"> Compute subsystems/own silicon </w:t>
      </w:r>
      <w:r>
        <w:rPr>
          <w:rFonts w:hint="eastAsia"/>
        </w:rPr>
        <w:t xml:space="preserve">计算子系统/自研芯片</w:t>
      </w:r>
    </w:p>
    <w:p>
      <w:pPr>
        <w:pStyle w:val="Compact"/>
        <w:numPr>
          <w:ilvl w:val="0"/>
          <w:numId w:val="1010"/>
        </w:numPr>
      </w:pPr>
      <w:r>
        <w:t xml:space="preserve">Business description (DATA): Arm Holdings plc researches, develops, licenses, and markets central processing unit (CPU) intellectual property (IP), graphics processing unit IP, systems IP, compute subsystems (CSS), and associated software, tools and related services. The company provides a product portfolio, including CPU IP, GPU and neural processing unit (NPU) accelerators, system IP such as interconnects, compute platform products including pre-integrated CSSs, and development tools and software. The company serves semiconductor companies, original equipment manufacturers (OEMs), cloud service providers (CSPs), and organizations developing chips for end markets such as smartphones, consumer electronics, industrial IoT, embedded systems, cloud data centers, networking, automotive, and robotics. It provides its products and services in the United States, China, Japan, Taiwan, Korea, and internationally. The company</w:t>
      </w:r>
    </w:p>
    <w:p>
      <w:pPr>
        <w:pStyle w:val="Compact"/>
        <w:numPr>
          <w:ilvl w:val="0"/>
          <w:numId w:val="1010"/>
        </w:numPr>
      </w:pPr>
      <w:r>
        <w:t xml:space="preserve">Customers: Apple, Qualcomm, MediaTek, NVDA (Grace/Vera), AWS (Graviton), Google (Axion), MSFT (Cobalt), </w:t>
      </w:r>
      <w:r>
        <w:rPr>
          <w:rFonts w:hint="eastAsia"/>
        </w:rPr>
        <w:t xml:space="preserve">SoftBank｜苹果、高通、联发科、NVDA、各大云厂自研CPU</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IP business: engineers; own-chip effort relies on </w:t>
      </w:r>
      <w:r>
        <w:rPr>
          <w:rFonts w:hint="eastAsia"/>
        </w:rPr>
        <w:t xml:space="preserve">TSMC｜IP业务依赖工程师；自研芯片依赖台积电</w:t>
      </w:r>
    </w:p>
    <w:p>
      <w:pPr>
        <w:pStyle w:val="Compact"/>
        <w:numPr>
          <w:ilvl w:val="0"/>
          <w:numId w:val="1011"/>
        </w:numPr>
      </w:pPr>
      <w:r>
        <w:t xml:space="preserve">Competitors: x86 (Intel/AMD), RISC-V (SiFive, Chinese </w:t>
      </w:r>
      <w:r>
        <w:rPr>
          <w:rFonts w:hint="eastAsia"/>
        </w:rPr>
        <w:t xml:space="preserve">vendors)｜x86、RISC-V</w:t>
      </w:r>
    </w:p>
    <w:p>
      <w:pPr>
        <w:pStyle w:val="Compact"/>
        <w:numPr>
          <w:ilvl w:val="0"/>
          <w:numId w:val="1011"/>
        </w:numPr>
      </w:pPr>
      <w:r>
        <w:t xml:space="preserve">Bottlenecks/regulation: Royalty-rate uplift (v9/CSS) adoption; data-center CPU </w:t>
      </w:r>
      <w:r>
        <w:rPr>
          <w:rFonts w:hint="eastAsia"/>
        </w:rPr>
        <w:t xml:space="preserve">share｜v9/CSS版税率提升速度；数据中心CPU份额</w:t>
      </w:r>
    </w:p>
    <w:p>
      <w:pPr>
        <w:pStyle w:val="Compact"/>
        <w:numPr>
          <w:ilvl w:val="0"/>
          <w:numId w:val="1011"/>
        </w:numPr>
      </w:pPr>
      <w:r>
        <w:t xml:space="preserve">KPIs: Royalty revenue, licensing revenue, RPO, v9 </w:t>
      </w:r>
      <w:r>
        <w:rPr>
          <w:rFonts w:hint="eastAsia"/>
        </w:rPr>
        <w:t xml:space="preserve">mix｜版税收入、授权收入、RPO、v9占比</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1.3 bn USD</w:t>
            </w:r>
          </w:p>
        </w:tc>
        <w:tc>
          <w:tcPr/>
          <w:p>
            <w:pPr>
              <w:pStyle w:val="Compact"/>
            </w:pPr>
            <w:r>
              <w:t xml:space="preserve">1.3 bn USD</w:t>
            </w:r>
          </w:p>
        </w:tc>
        <w:tc>
          <w:tcPr/>
          <w:p>
            <w:pPr>
              <w:pStyle w:val="Compact"/>
            </w:pPr>
            <w:r>
              <w:t xml:space="preserve">98.0 mn USD</w:t>
            </w:r>
          </w:p>
        </w:tc>
        <w:tc>
          <w:tcPr/>
          <w:p>
            <w:pPr>
              <w:pStyle w:val="Compact"/>
            </w:pPr>
            <w:r>
              <w:t xml:space="preserve">0.3 bn USD</w:t>
            </w:r>
          </w:p>
        </w:tc>
        <w:tc>
          <w:tcPr/>
          <w:p>
            <w:pPr>
              <w:pStyle w:val="Compact"/>
            </w:pPr>
            <w:r>
              <w:t xml:space="preserve">0.7 bn USD</w:t>
            </w:r>
          </w:p>
        </w:tc>
        <w:tc>
          <w:tcPr/>
          <w:p>
            <w:pPr>
              <w:pStyle w:val="Compact"/>
            </w:pPr>
            <w:r>
              <w:t xml:space="preserve">7.6%</w:t>
            </w:r>
          </w:p>
        </w:tc>
      </w:tr>
      <w:tr>
        <w:tc>
          <w:tcPr/>
          <w:p>
            <w:pPr>
              <w:pStyle w:val="Compact"/>
            </w:pPr>
            <w:r>
              <w:t xml:space="preserve">2026-03-31</w:t>
            </w:r>
          </w:p>
        </w:tc>
        <w:tc>
          <w:tcPr/>
          <w:p>
            <w:pPr>
              <w:pStyle w:val="Compact"/>
            </w:pPr>
            <w:r>
              <w:t xml:space="preserve">1.5 bn USD</w:t>
            </w:r>
          </w:p>
        </w:tc>
        <w:tc>
          <w:tcPr/>
          <w:p>
            <w:pPr>
              <w:pStyle w:val="Compact"/>
            </w:pPr>
            <w:r>
              <w:t xml:space="preserve">1.5 bn USD</w:t>
            </w:r>
          </w:p>
        </w:tc>
        <w:tc>
          <w:tcPr/>
          <w:p>
            <w:pPr>
              <w:pStyle w:val="Compact"/>
            </w:pPr>
            <w:r>
              <w:t xml:space="preserve">0.4 bn USD</w:t>
            </w:r>
          </w:p>
        </w:tc>
        <w:tc>
          <w:tcPr/>
          <w:p>
            <w:pPr>
              <w:pStyle w:val="Compact"/>
            </w:pPr>
            <w:r>
              <w:t xml:space="preserve">0.3 bn USD</w:t>
            </w:r>
          </w:p>
        </w:tc>
        <w:tc>
          <w:tcPr/>
          <w:p>
            <w:pPr>
              <w:pStyle w:val="Compact"/>
            </w:pPr>
            <w:r>
              <w:t xml:space="preserve">0.2 bn USD</w:t>
            </w:r>
          </w:p>
        </w:tc>
        <w:tc>
          <w:tcPr/>
          <w:p>
            <w:pPr>
              <w:pStyle w:val="Compact"/>
            </w:pPr>
            <w:r>
              <w:t xml:space="preserve">29.5%</w:t>
            </w:r>
          </w:p>
        </w:tc>
      </w:tr>
      <w:tr>
        <w:tc>
          <w:tcPr/>
          <w:p>
            <w:pPr>
              <w:pStyle w:val="Compact"/>
            </w:pPr>
            <w:r>
              <w:t xml:space="preserve">2025-12-31</w:t>
            </w:r>
          </w:p>
        </w:tc>
        <w:tc>
          <w:tcPr/>
          <w:p>
            <w:pPr>
              <w:pStyle w:val="Compact"/>
            </w:pPr>
            <w:r>
              <w:t xml:space="preserve">1.2 bn USD</w:t>
            </w:r>
          </w:p>
        </w:tc>
        <w:tc>
          <w:tcPr/>
          <w:p>
            <w:pPr>
              <w:pStyle w:val="Compact"/>
            </w:pPr>
            <w:r>
              <w:t xml:space="preserve">1.2 bn USD</w:t>
            </w:r>
          </w:p>
        </w:tc>
        <w:tc>
          <w:tcPr/>
          <w:p>
            <w:pPr>
              <w:pStyle w:val="Compact"/>
            </w:pPr>
            <w:r>
              <w:t xml:space="preserve">0.2 bn USD</w:t>
            </w:r>
          </w:p>
        </w:tc>
        <w:tc>
          <w:tcPr/>
          <w:p>
            <w:pPr>
              <w:pStyle w:val="Compact"/>
            </w:pPr>
            <w:r>
              <w:t xml:space="preserve">0.2 bn USD</w:t>
            </w:r>
          </w:p>
        </w:tc>
        <w:tc>
          <w:tcPr/>
          <w:p>
            <w:pPr>
              <w:pStyle w:val="Compact"/>
            </w:pPr>
            <w:r>
              <w:t xml:space="preserve">0.2 bn USD</w:t>
            </w:r>
          </w:p>
        </w:tc>
        <w:tc>
          <w:tcPr/>
          <w:p>
            <w:pPr>
              <w:pStyle w:val="Compact"/>
            </w:pPr>
            <w:r>
              <w:t xml:space="preserve">15.4%</w:t>
            </w:r>
          </w:p>
        </w:tc>
      </w:tr>
      <w:tr>
        <w:tc>
          <w:tcPr/>
          <w:p>
            <w:pPr>
              <w:pStyle w:val="Compact"/>
            </w:pPr>
            <w:r>
              <w:t xml:space="preserve">2025-09-30</w:t>
            </w:r>
          </w:p>
        </w:tc>
        <w:tc>
          <w:tcPr/>
          <w:p>
            <w:pPr>
              <w:pStyle w:val="Compact"/>
            </w:pPr>
            <w:r>
              <w:t xml:space="preserve">1.1 bn USD</w:t>
            </w:r>
          </w:p>
        </w:tc>
        <w:tc>
          <w:tcPr/>
          <w:p>
            <w:pPr>
              <w:pStyle w:val="Compact"/>
            </w:pPr>
            <w:r>
              <w:t xml:space="preserve">1.1 bn USD</w:t>
            </w:r>
          </w:p>
        </w:tc>
        <w:tc>
          <w:tcPr/>
          <w:p>
            <w:pPr>
              <w:pStyle w:val="Compact"/>
            </w:pPr>
            <w:r>
              <w:t xml:space="preserve">0.2 bn USD</w:t>
            </w:r>
          </w:p>
        </w:tc>
        <w:tc>
          <w:tcPr/>
          <w:p>
            <w:pPr>
              <w:pStyle w:val="Compact"/>
            </w:pPr>
            <w:r>
              <w:t xml:space="preserve">0.2 bn USD</w:t>
            </w:r>
          </w:p>
        </w:tc>
        <w:tc>
          <w:tcPr/>
          <w:p>
            <w:pPr>
              <w:pStyle w:val="Compact"/>
            </w:pPr>
            <w:r>
              <w:t xml:space="preserve">0.4 bn USD</w:t>
            </w:r>
          </w:p>
        </w:tc>
        <w:tc>
          <w:tcPr/>
          <w:p>
            <w:pPr>
              <w:pStyle w:val="Compact"/>
            </w:pPr>
            <w:r>
              <w:t xml:space="preserve">14.4%</w:t>
            </w:r>
          </w:p>
        </w:tc>
      </w:tr>
      <w:tr>
        <w:tc>
          <w:tcPr/>
          <w:p>
            <w:pPr>
              <w:pStyle w:val="Compact"/>
            </w:pPr>
            <w:r>
              <w:t xml:space="preserve">2025-06-30</w:t>
            </w:r>
          </w:p>
        </w:tc>
        <w:tc>
          <w:tcPr/>
          <w:p>
            <w:pPr>
              <w:pStyle w:val="Compact"/>
            </w:pPr>
            <w:r>
              <w:t xml:space="preserve">1.1 bn USD</w:t>
            </w:r>
          </w:p>
        </w:tc>
        <w:tc>
          <w:tcPr/>
          <w:p>
            <w:pPr>
              <w:pStyle w:val="Compact"/>
            </w:pPr>
            <w:r>
              <w:t xml:space="preserve">1.0 bn USD</w:t>
            </w:r>
          </w:p>
        </w:tc>
        <w:tc>
          <w:tcPr/>
          <w:p>
            <w:pPr>
              <w:pStyle w:val="Compact"/>
            </w:pPr>
            <w:r>
              <w:t xml:space="preserve">0.1 bn USD</w:t>
            </w:r>
          </w:p>
        </w:tc>
        <w:tc>
          <w:tcPr/>
          <w:p>
            <w:pPr>
              <w:pStyle w:val="Compact"/>
            </w:pPr>
            <w:r>
              <w:t xml:space="preserve">0.1 bn USD</w:t>
            </w:r>
          </w:p>
        </w:tc>
        <w:tc>
          <w:tcPr/>
          <w:p>
            <w:pPr>
              <w:pStyle w:val="Compact"/>
            </w:pPr>
            <w:r>
              <w:t xml:space="preserve">0.2 bn USD</w:t>
            </w:r>
          </w:p>
        </w:tc>
        <w:tc>
          <w:tcPr/>
          <w:p>
            <w:pPr>
              <w:pStyle w:val="Compact"/>
            </w:pPr>
            <w:r>
              <w:t xml:space="preserve">10.8%</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3.9 bn USD; debt 0.5 bn USD; TTM FCF 1.5 bn USD (FCF margin 28.5%).</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0.39</w:t>
            </w:r>
          </w:p>
        </w:tc>
        <w:tc>
          <w:tcPr/>
          <w:p>
            <w:pPr>
              <w:pStyle w:val="Compact"/>
            </w:pPr>
            <w:r>
              <w:t xml:space="preserve">0.33134</w:t>
            </w:r>
          </w:p>
        </w:tc>
        <w:tc>
          <w:tcPr/>
          <w:p>
            <w:pPr>
              <w:pStyle w:val="Compact"/>
            </w:pPr>
            <w:r>
              <w:t xml:space="preserve">0.177</w:t>
            </w:r>
          </w:p>
        </w:tc>
      </w:tr>
      <w:tr>
        <w:tc>
          <w:tcPr/>
          <w:p>
            <w:pPr>
              <w:pStyle w:val="Compact"/>
            </w:pPr>
            <w:r>
              <w:t xml:space="preserve">2025-12-31</w:t>
            </w:r>
          </w:p>
        </w:tc>
        <w:tc>
          <w:tcPr/>
          <w:p>
            <w:pPr>
              <w:pStyle w:val="Compact"/>
            </w:pPr>
            <w:r>
              <w:t xml:space="preserve">0.43</w:t>
            </w:r>
          </w:p>
        </w:tc>
        <w:tc>
          <w:tcPr/>
          <w:p>
            <w:pPr>
              <w:pStyle w:val="Compact"/>
            </w:pPr>
            <w:r>
              <w:t xml:space="preserve">0.40919</w:t>
            </w:r>
          </w:p>
        </w:tc>
        <w:tc>
          <w:tcPr/>
          <w:p>
            <w:pPr>
              <w:pStyle w:val="Compact"/>
            </w:pPr>
            <w:r>
              <w:t xml:space="preserve">0.0509</w:t>
            </w:r>
          </w:p>
        </w:tc>
      </w:tr>
      <w:tr>
        <w:tc>
          <w:tcPr/>
          <w:p>
            <w:pPr>
              <w:pStyle w:val="Compact"/>
            </w:pPr>
            <w:r>
              <w:t xml:space="preserve">2026-03-31</w:t>
            </w:r>
          </w:p>
        </w:tc>
        <w:tc>
          <w:tcPr/>
          <w:p>
            <w:pPr>
              <w:pStyle w:val="Compact"/>
            </w:pPr>
            <w:r>
              <w:t xml:space="preserve">0.6</w:t>
            </w:r>
          </w:p>
        </w:tc>
        <w:tc>
          <w:tcPr/>
          <w:p>
            <w:pPr>
              <w:pStyle w:val="Compact"/>
            </w:pPr>
            <w:r>
              <w:t xml:space="preserve">0.5793</w:t>
            </w:r>
          </w:p>
        </w:tc>
        <w:tc>
          <w:tcPr/>
          <w:p>
            <w:pPr>
              <w:pStyle w:val="Compact"/>
            </w:pPr>
            <w:r>
              <w:t xml:space="preserve">0.0357</w:t>
            </w:r>
          </w:p>
        </w:tc>
      </w:tr>
      <w:tr>
        <w:tc>
          <w:tcPr/>
          <w:p>
            <w:pPr>
              <w:pStyle w:val="Compact"/>
            </w:pPr>
            <w:r>
              <w:t xml:space="preserve">2026-06-30</w:t>
            </w:r>
          </w:p>
        </w:tc>
        <w:tc>
          <w:tcPr/>
          <w:p>
            <w:pPr>
              <w:pStyle w:val="Compact"/>
            </w:pPr>
            <w:r>
              <w:t xml:space="preserve">0.45</w:t>
            </w:r>
          </w:p>
        </w:tc>
        <w:tc>
          <w:tcPr/>
          <w:p>
            <w:pPr>
              <w:pStyle w:val="Compact"/>
            </w:pPr>
            <w:r>
              <w:t xml:space="preserve">0.4038</w:t>
            </w:r>
          </w:p>
        </w:tc>
        <w:tc>
          <w:tcPr/>
          <w:p>
            <w:pPr>
              <w:pStyle w:val="Compact"/>
            </w:pPr>
            <w:r>
              <w:t xml:space="preserve">0.1144</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2026-11-05</w:t>
      </w:r>
      <w:r>
        <w:t xml:space="preserve">; current-quarter EPS consensus 0.47338 (28 analysts); revenue consensus 1.4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$28.71</w:t>
            </w:r>
          </w:p>
        </w:tc>
        <w:tc>
          <w:tcPr/>
          <w:p>
            <w:pPr>
              <w:pStyle w:val="Compact"/>
            </w:pPr>
            <w:r>
              <w:t xml:space="preserve">-88.8%</w:t>
            </w:r>
          </w:p>
        </w:tc>
      </w:tr>
      <w:tr>
        <w:tc>
          <w:tcPr/>
          <w:p>
            <w:pPr>
              <w:pStyle w:val="Compact"/>
            </w:pPr>
            <w:r>
              <w:t xml:space="preserve">2Q</w:t>
            </w:r>
          </w:p>
        </w:tc>
        <w:tc>
          <w:tcPr/>
          <w:p>
            <w:pPr>
              <w:pStyle w:val="Compact"/>
            </w:pPr>
            <w:r>
              <w:t xml:space="preserve">Base</w:t>
            </w:r>
          </w:p>
        </w:tc>
        <w:tc>
          <w:tcPr/>
          <w:p>
            <w:pPr>
              <w:pStyle w:val="Compact"/>
            </w:pPr>
            <w:r>
              <w:t xml:space="preserve">$60.68</w:t>
            </w:r>
          </w:p>
        </w:tc>
        <w:tc>
          <w:tcPr/>
          <w:p>
            <w:pPr>
              <w:pStyle w:val="Compact"/>
            </w:pPr>
            <w:r>
              <w:t xml:space="preserve">-76.2%</w:t>
            </w:r>
          </w:p>
        </w:tc>
      </w:tr>
      <w:tr>
        <w:tc>
          <w:tcPr/>
          <w:p>
            <w:pPr>
              <w:pStyle w:val="Compact"/>
            </w:pPr>
            <w:r>
              <w:t xml:space="preserve">2Q</w:t>
            </w:r>
          </w:p>
        </w:tc>
        <w:tc>
          <w:tcPr/>
          <w:p>
            <w:pPr>
              <w:pStyle w:val="Compact"/>
            </w:pPr>
            <w:r>
              <w:t xml:space="preserve">Bull</w:t>
            </w:r>
          </w:p>
        </w:tc>
        <w:tc>
          <w:tcPr/>
          <w:p>
            <w:pPr>
              <w:pStyle w:val="Compact"/>
            </w:pPr>
            <w:r>
              <w:t xml:space="preserve">$98.92</w:t>
            </w:r>
          </w:p>
        </w:tc>
        <w:tc>
          <w:tcPr/>
          <w:p>
            <w:pPr>
              <w:pStyle w:val="Compact"/>
            </w:pPr>
            <w:r>
              <w:t xml:space="preserve">-61.3%</w:t>
            </w:r>
          </w:p>
        </w:tc>
      </w:tr>
      <w:tr>
        <w:tc>
          <w:tcPr/>
          <w:p>
            <w:pPr>
              <w:pStyle w:val="Compact"/>
            </w:pPr>
            <w:r>
              <w:t xml:space="preserve">4Q</w:t>
            </w:r>
          </w:p>
        </w:tc>
        <w:tc>
          <w:tcPr/>
          <w:p>
            <w:pPr>
              <w:pStyle w:val="Compact"/>
            </w:pPr>
            <w:r>
              <w:t xml:space="preserve">Bear</w:t>
            </w:r>
          </w:p>
        </w:tc>
        <w:tc>
          <w:tcPr/>
          <w:p>
            <w:pPr>
              <w:pStyle w:val="Compact"/>
            </w:pPr>
            <w:r>
              <w:t xml:space="preserve">$29.26</w:t>
            </w:r>
          </w:p>
        </w:tc>
        <w:tc>
          <w:tcPr/>
          <w:p>
            <w:pPr>
              <w:pStyle w:val="Compact"/>
            </w:pPr>
            <w:r>
              <w:t xml:space="preserve">-88.5%</w:t>
            </w:r>
          </w:p>
        </w:tc>
      </w:tr>
      <w:tr>
        <w:tc>
          <w:tcPr/>
          <w:p>
            <w:pPr>
              <w:pStyle w:val="Compact"/>
            </w:pPr>
            <w:r>
              <w:t xml:space="preserve">4Q</w:t>
            </w:r>
          </w:p>
        </w:tc>
        <w:tc>
          <w:tcPr/>
          <w:p>
            <w:pPr>
              <w:pStyle w:val="Compact"/>
            </w:pPr>
            <w:r>
              <w:t xml:space="preserve">Base</w:t>
            </w:r>
          </w:p>
        </w:tc>
        <w:tc>
          <w:tcPr/>
          <w:p>
            <w:pPr>
              <w:pStyle w:val="Compact"/>
            </w:pPr>
            <w:r>
              <w:t xml:space="preserve">$68.34</w:t>
            </w:r>
          </w:p>
        </w:tc>
        <w:tc>
          <w:tcPr/>
          <w:p>
            <w:pPr>
              <w:pStyle w:val="Compact"/>
            </w:pPr>
            <w:r>
              <w:t xml:space="preserve">-73.2%</w:t>
            </w:r>
          </w:p>
        </w:tc>
      </w:tr>
      <w:tr>
        <w:tc>
          <w:tcPr/>
          <w:p>
            <w:pPr>
              <w:pStyle w:val="Compact"/>
            </w:pPr>
            <w:r>
              <w:t xml:space="preserve">4Q</w:t>
            </w:r>
          </w:p>
        </w:tc>
        <w:tc>
          <w:tcPr/>
          <w:p>
            <w:pPr>
              <w:pStyle w:val="Compact"/>
            </w:pPr>
            <w:r>
              <w:t xml:space="preserve">Bull</w:t>
            </w:r>
          </w:p>
        </w:tc>
        <w:tc>
          <w:tcPr/>
          <w:p>
            <w:pPr>
              <w:pStyle w:val="Compact"/>
            </w:pPr>
            <w:r>
              <w:t xml:space="preserve">$118.05</w:t>
            </w:r>
          </w:p>
        </w:tc>
        <w:tc>
          <w:tcPr/>
          <w:p>
            <w:pPr>
              <w:pStyle w:val="Compact"/>
            </w:pPr>
            <w:r>
              <w:t xml:space="preserve">-53.8%</w:t>
            </w:r>
          </w:p>
        </w:tc>
      </w:tr>
      <w:tr>
        <w:tc>
          <w:tcPr/>
          <w:p>
            <w:pPr>
              <w:pStyle w:val="Compact"/>
            </w:pPr>
            <w:r>
              <w:t xml:space="preserve">6Q</w:t>
            </w:r>
          </w:p>
        </w:tc>
        <w:tc>
          <w:tcPr/>
          <w:p>
            <w:pPr>
              <w:pStyle w:val="Compact"/>
            </w:pPr>
            <w:r>
              <w:t xml:space="preserve">Bear</w:t>
            </w:r>
          </w:p>
        </w:tc>
        <w:tc>
          <w:tcPr/>
          <w:p>
            <w:pPr>
              <w:pStyle w:val="Compact"/>
            </w:pPr>
            <w:r>
              <w:t xml:space="preserve">$29.83</w:t>
            </w:r>
          </w:p>
        </w:tc>
        <w:tc>
          <w:tcPr/>
          <w:p>
            <w:pPr>
              <w:pStyle w:val="Compact"/>
            </w:pPr>
            <w:r>
              <w:t xml:space="preserve">-88.3%</w:t>
            </w:r>
          </w:p>
        </w:tc>
      </w:tr>
      <w:tr>
        <w:tc>
          <w:tcPr/>
          <w:p>
            <w:pPr>
              <w:pStyle w:val="Compact"/>
            </w:pPr>
            <w:r>
              <w:t xml:space="preserve">6Q</w:t>
            </w:r>
          </w:p>
        </w:tc>
        <w:tc>
          <w:tcPr/>
          <w:p>
            <w:pPr>
              <w:pStyle w:val="Compact"/>
            </w:pPr>
            <w:r>
              <w:t xml:space="preserve">Base</w:t>
            </w:r>
          </w:p>
        </w:tc>
        <w:tc>
          <w:tcPr/>
          <w:p>
            <w:pPr>
              <w:pStyle w:val="Compact"/>
            </w:pPr>
            <w:r>
              <w:t xml:space="preserve">$77.00</w:t>
            </w:r>
          </w:p>
        </w:tc>
        <w:tc>
          <w:tcPr/>
          <w:p>
            <w:pPr>
              <w:pStyle w:val="Compact"/>
            </w:pPr>
            <w:r>
              <w:t xml:space="preserve">-69.8%</w:t>
            </w:r>
          </w:p>
        </w:tc>
      </w:tr>
      <w:tr>
        <w:tc>
          <w:tcPr/>
          <w:p>
            <w:pPr>
              <w:pStyle w:val="Compact"/>
            </w:pPr>
            <w:r>
              <w:t xml:space="preserve">6Q</w:t>
            </w:r>
          </w:p>
        </w:tc>
        <w:tc>
          <w:tcPr/>
          <w:p>
            <w:pPr>
              <w:pStyle w:val="Compact"/>
            </w:pPr>
            <w:r>
              <w:t xml:space="preserve">Bull</w:t>
            </w:r>
          </w:p>
        </w:tc>
        <w:tc>
          <w:tcPr/>
          <w:p>
            <w:pPr>
              <w:pStyle w:val="Compact"/>
            </w:pPr>
            <w:r>
              <w:t xml:space="preserve">$140.74</w:t>
            </w:r>
          </w:p>
        </w:tc>
        <w:tc>
          <w:tcPr/>
          <w:p>
            <w:pPr>
              <w:pStyle w:val="Compact"/>
            </w:pPr>
            <w:r>
              <w:t xml:space="preserve">-44.9%</w:t>
            </w:r>
          </w:p>
        </w:tc>
      </w:tr>
      <w:tr>
        <w:tc>
          <w:tcPr/>
          <w:p>
            <w:pPr>
              <w:pStyle w:val="Compact"/>
            </w:pPr>
            <w:r>
              <w:t xml:space="preserve">8Q</w:t>
            </w:r>
          </w:p>
        </w:tc>
        <w:tc>
          <w:tcPr/>
          <w:p>
            <w:pPr>
              <w:pStyle w:val="Compact"/>
            </w:pPr>
            <w:r>
              <w:t xml:space="preserve">Bear</w:t>
            </w:r>
          </w:p>
        </w:tc>
        <w:tc>
          <w:tcPr/>
          <w:p>
            <w:pPr>
              <w:pStyle w:val="Compact"/>
            </w:pPr>
            <w:r>
              <w:t xml:space="preserve">$30.44</w:t>
            </w:r>
          </w:p>
        </w:tc>
        <w:tc>
          <w:tcPr/>
          <w:p>
            <w:pPr>
              <w:pStyle w:val="Compact"/>
            </w:pPr>
            <w:r>
              <w:t xml:space="preserve">-88.1%</w:t>
            </w:r>
          </w:p>
        </w:tc>
      </w:tr>
      <w:tr>
        <w:tc>
          <w:tcPr/>
          <w:p>
            <w:pPr>
              <w:pStyle w:val="Compact"/>
            </w:pPr>
            <w:r>
              <w:t xml:space="preserve">8Q</w:t>
            </w:r>
          </w:p>
        </w:tc>
        <w:tc>
          <w:tcPr/>
          <w:p>
            <w:pPr>
              <w:pStyle w:val="Compact"/>
            </w:pPr>
            <w:r>
              <w:t xml:space="preserve">Base</w:t>
            </w:r>
          </w:p>
        </w:tc>
        <w:tc>
          <w:tcPr/>
          <w:p>
            <w:pPr>
              <w:pStyle w:val="Compact"/>
            </w:pPr>
            <w:r>
              <w:t xml:space="preserve">$86.77</w:t>
            </w:r>
          </w:p>
        </w:tc>
        <w:tc>
          <w:tcPr/>
          <w:p>
            <w:pPr>
              <w:pStyle w:val="Compact"/>
            </w:pPr>
            <w:r>
              <w:t xml:space="preserve">-66.0%</w:t>
            </w:r>
          </w:p>
        </w:tc>
      </w:tr>
      <w:tr>
        <w:tc>
          <w:tcPr/>
          <w:p>
            <w:pPr>
              <w:pStyle w:val="Compact"/>
            </w:pPr>
            <w:r>
              <w:t xml:space="preserve">8Q</w:t>
            </w:r>
          </w:p>
        </w:tc>
        <w:tc>
          <w:tcPr/>
          <w:p>
            <w:pPr>
              <w:pStyle w:val="Compact"/>
            </w:pPr>
            <w:r>
              <w:t xml:space="preserve">Bull</w:t>
            </w:r>
          </w:p>
        </w:tc>
        <w:tc>
          <w:tcPr/>
          <w:p>
            <w:pPr>
              <w:pStyle w:val="Compact"/>
            </w:pPr>
            <w:r>
              <w:t xml:space="preserve">$167.61</w:t>
            </w:r>
          </w:p>
        </w:tc>
        <w:tc>
          <w:tcPr/>
          <w:p>
            <w:pPr>
              <w:pStyle w:val="Compact"/>
            </w:pPr>
            <w:r>
              <w:t xml:space="preserve">-34.4%</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102.7x</w:t>
            </w:r>
          </w:p>
        </w:tc>
      </w:tr>
      <w:tr>
        <w:tc>
          <w:tcPr/>
          <w:p>
            <w:pPr>
              <w:pStyle w:val="Compact"/>
            </w:pPr>
            <w:r>
              <w:t xml:space="preserve">4Q</w:t>
            </w:r>
          </w:p>
        </w:tc>
        <w:tc>
          <w:tcPr/>
          <w:p>
            <w:pPr>
              <w:pStyle w:val="Compact"/>
            </w:pPr>
            <w:r>
              <w:t xml:space="preserve">85.0x</w:t>
            </w:r>
          </w:p>
        </w:tc>
      </w:tr>
      <w:tr>
        <w:tc>
          <w:tcPr/>
          <w:p>
            <w:pPr>
              <w:pStyle w:val="Compact"/>
            </w:pPr>
            <w:r>
              <w:t xml:space="preserve">6Q</w:t>
            </w:r>
          </w:p>
        </w:tc>
        <w:tc>
          <w:tcPr/>
          <w:p>
            <w:pPr>
              <w:pStyle w:val="Compact"/>
            </w:pPr>
            <w:r>
              <w:t xml:space="preserve">70.4x</w:t>
            </w:r>
          </w:p>
        </w:tc>
      </w:tr>
      <w:tr>
        <w:tc>
          <w:tcPr/>
          <w:p>
            <w:pPr>
              <w:pStyle w:val="Compact"/>
            </w:pPr>
            <w:r>
              <w:t xml:space="preserve">8Q</w:t>
            </w:r>
          </w:p>
        </w:tc>
        <w:tc>
          <w:tcPr/>
          <w:p>
            <w:pPr>
              <w:pStyle w:val="Compact"/>
            </w:pPr>
            <w:r>
              <w:t xml:space="preserve">58.3x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18.1%</w:t>
            </w:r>
          </w:p>
        </w:tc>
        <w:tc>
          <w:tcPr/>
          <w:p>
            <w:pPr>
              <w:pStyle w:val="Compact"/>
            </w:pPr>
            <w:r>
              <w:t xml:space="preserve">32.0%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$26.80</w:t>
            </w:r>
          </w:p>
        </w:tc>
        <w:tc>
          <w:tcPr/>
          <w:p>
            <w:pPr>
              <w:pStyle w:val="Compact"/>
            </w:pPr>
            <w:r>
              <w:t xml:space="preserve">-89.5%</w:t>
            </w:r>
          </w:p>
        </w:tc>
      </w:tr>
      <w:tr>
        <w:tc>
          <w:tcPr/>
          <w:p>
            <w:pPr>
              <w:pStyle w:val="Compact"/>
            </w:pPr>
            <w:r>
              <w:t xml:space="preserve">Base</w:t>
            </w:r>
          </w:p>
        </w:tc>
        <w:tc>
          <w:tcPr/>
          <w:p>
            <w:pPr>
              <w:pStyle w:val="Compact"/>
            </w:pPr>
            <w:r>
              <w:t xml:space="preserve">36.2%</w:t>
            </w:r>
          </w:p>
        </w:tc>
        <w:tc>
          <w:tcPr/>
          <w:p>
            <w:pPr>
              <w:pStyle w:val="Compact"/>
            </w:pPr>
            <w:r>
              <w:t xml:space="preserve">40.0%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$67.29</w:t>
            </w:r>
          </w:p>
        </w:tc>
        <w:tc>
          <w:tcPr/>
          <w:p>
            <w:pPr>
              <w:pStyle w:val="Compact"/>
            </w:pPr>
            <w:r>
              <w:t xml:space="preserve">-73.7%</w:t>
            </w:r>
          </w:p>
        </w:tc>
      </w:tr>
      <w:tr>
        <w:tc>
          <w:tcPr/>
          <w:p>
            <w:pPr>
              <w:pStyle w:val="Compact"/>
            </w:pPr>
            <w:r>
              <w:t xml:space="preserve">Bull</w:t>
            </w:r>
          </w:p>
        </w:tc>
        <w:tc>
          <w:tcPr/>
          <w:p>
            <w:pPr>
              <w:pStyle w:val="Compact"/>
            </w:pPr>
            <w:r>
              <w:t xml:space="preserve">47.1%</w:t>
            </w:r>
          </w:p>
        </w:tc>
        <w:tc>
          <w:tcPr/>
          <w:p>
            <w:pPr>
              <w:pStyle w:val="Compact"/>
            </w:pPr>
            <w:r>
              <w:t xml:space="preserve">46.0%</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$122.37</w:t>
            </w:r>
          </w:p>
        </w:tc>
        <w:tc>
          <w:tcPr/>
          <w:p>
            <w:pPr>
              <w:pStyle w:val="Compact"/>
            </w:pPr>
            <w:r>
              <w:t xml:space="preserve">-52.1%</w:t>
            </w:r>
          </w:p>
        </w:tc>
      </w:tr>
    </w:tbl>
    <w:p>
      <w:pPr>
        <w:pStyle w:val="BodyText"/>
      </w:pPr>
      <w:r>
        <w:t xml:space="preserve">Probability-weighted value</w:t>
      </w:r>
      <w:r>
        <w:t xml:space="preserve"> </w:t>
      </w:r>
      <w:r>
        <w:rPr>
          <w:b/>
          <w:bCs/>
        </w:rPr>
        <w:t xml:space="preserve">$70.94</w:t>
      </w:r>
      <w:r>
        <w:t xml:space="preserve"> </w:t>
      </w:r>
      <w:r>
        <w:t xml:space="preserve">(-72.2%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68.5 bn USD; terminal share 50.4%.</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78.2%</w:t>
      </w:r>
      <w:r>
        <w:t xml:space="preserve"> </w:t>
      </w:r>
      <w:r>
        <w:t xml:space="preserve">vs consensus FY+1 36.2%.</w:t>
      </w:r>
    </w:p>
    <w:p>
      <w:pPr>
        <w:pStyle w:val="Compact"/>
        <w:numPr>
          <w:ilvl w:val="0"/>
          <w:numId w:val="1013"/>
        </w:numPr>
      </w:pPr>
      <w:r>
        <w:t xml:space="preserve">WACC (CAPM) = rf 5.2% + β 1.60 × ERP 5.0% = 13.2%.</w:t>
      </w:r>
    </w:p>
    <w:p>
      <w:pPr>
        <w:pStyle w:val="Compact"/>
        <w:numPr>
          <w:ilvl w:val="0"/>
          <w:numId w:val="1013"/>
        </w:numPr>
      </w:pPr>
      <w:r>
        <w:t xml:space="preserve">SOTP segments: Royalty </w:t>
      </w:r>
      <w:r>
        <w:rPr>
          <w:rFonts w:hint="eastAsia"/>
        </w:rPr>
        <w:t xml:space="preserve">版税;</w:t>
      </w:r>
      <w:r>
        <w:t xml:space="preserve"> Licensing </w:t>
      </w:r>
      <w:r>
        <w:rPr>
          <w:rFonts w:hint="eastAsia"/>
        </w:rPr>
        <w:t xml:space="preserve">授权;</w:t>
      </w:r>
      <w:r>
        <w:t xml:space="preserve"> Compute subsystems/own silicon </w:t>
      </w:r>
      <w:r>
        <w:rPr>
          <w:rFonts w:hint="eastAsia"/>
        </w:rPr>
        <w:t xml:space="preserve">计算子系统/自研芯片</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RISC-V substitution, licensee pushback, SoftBank </w:t>
      </w:r>
      <w:r>
        <w:rPr>
          <w:rFonts w:hint="eastAsia"/>
        </w:rPr>
        <w:t xml:space="preserve">overhang｜RISC-V替代、客户反弹、软银持股压力</w:t>
      </w:r>
      <w:r>
        <w:t xml:space="preserve"> | Falsifiers: Royalty growth below smartphone+DC unit growth; licensing lumpiness without backlog </w:t>
      </w:r>
      <w:r>
        <w:rPr>
          <w:rFonts w:hint="eastAsia"/>
        </w:rPr>
        <w:t xml:space="preserve">support｜版税增速低于出货增速；授权收入无RPO支持</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ARM_model_v20261014-0758.xlsx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data/snapshots/20261014-0758</w:t>
      </w:r>
      <w:r>
        <w:t xml:space="preserve"> </w:t>
      </w:r>
      <w:r>
        <w:t xml:space="preserve">(immutable) | Fetched 2026-10-14 07:58 SGT | Generated 2026-10-14 07:58 SGT</w:t>
      </w:r>
      <w:r>
        <w:t xml:space="preserve"> </w:t>
      </w:r>
      <w:r>
        <w:t xml:space="preserve">- Version: v20261014-0758.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2026-10-13T23:59:30Z</dcterms:created>
  <dcterms:modified xsi:type="dcterms:W3CDTF">2026-10-13T23:59:30Z</dcterms:modified>
</cp:coreProperties>
</file>

<file path=docProps/custom.xml><?xml version="1.0" encoding="utf-8"?>
<Properties xmlns="http://schemas.openxmlformats.org/officeDocument/2006/custom-properties" xmlns:vt="http://schemas.openxmlformats.org/officeDocument/2006/docPropsVTypes"/>
</file>