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4f16b6ef9e7124318acf7918eab0ecbdc7a458"/>
    <w:p>
      <w:pPr>
        <w:pStyle w:val="Heading1"/>
      </w:pPr>
      <w:r>
        <w:t xml:space="preserve">AVGO Broadcom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Broadcom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$354.73；距</w:t>
      </w:r>
      <w:r>
        <w:t xml:space="preserve"> 2026-06-02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-26.1%。主题：Custom</w:t>
      </w:r>
      <w:r>
        <w:t xml:space="preserve"> AI ASIC + networking + infrastructure software </w:t>
      </w:r>
      <w:r>
        <w:rPr>
          <w:rFonts w:hint="eastAsia"/>
        </w:rPr>
        <w:t xml:space="preserve">定制AI芯片+网络+软件。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40.9%，一致预期</w:t>
      </w:r>
      <w:r>
        <w:t xml:space="preserve"> </w:t>
      </w:r>
      <w:r>
        <w:rPr>
          <w:rFonts w:hint="eastAsia"/>
        </w:rPr>
        <w:t xml:space="preserve">64.1%；三情景价值</w:t>
      </w:r>
      <w:r>
        <w:t xml:space="preserve"> $179/$774/$1,827。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2026-12-10（TENTATIVE</w:t>
      </w:r>
      <w:r>
        <w:t xml:space="preserve"> </w:t>
      </w:r>
      <w:r>
        <w:rPr>
          <w:rFonts w:hint="eastAsia"/>
        </w:rPr>
        <w:t xml:space="preserve">直至公司确认）；盯：AI收入、XPU客户数、软件收入、FCF、净负债。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定制AI芯片+网络+软件。持有者在乎的是：博通是’XPU/TPU替代GPU’趋势的核心受益者，加上Tomahawk/Jericho以太网与VMware现金流；高客户集中度意味着单一客户项目变动影响巨大。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40.9%，一致预期</w:t>
      </w:r>
      <w:r>
        <w:t xml:space="preserve"> </w:t>
      </w:r>
      <w:r>
        <w:rPr>
          <w:rFonts w:hint="eastAsia"/>
        </w:rPr>
        <w:t xml:space="preserve">64.1%——市场定价不比分析师更乐观。跑率/静态</w:t>
      </w:r>
      <w:r>
        <w:t xml:space="preserve"> P/E </w:t>
      </w:r>
      <w:r>
        <w:rPr>
          <w:rFonts w:hint="eastAsia"/>
        </w:rPr>
        <w:t xml:space="preserve">44.5×、前瞻</w:t>
      </w:r>
      <w:r>
        <w:t xml:space="preserve"> P/E </w:t>
      </w:r>
      <w:r>
        <w:rPr>
          <w:rFonts w:hint="eastAsia"/>
        </w:rPr>
        <w:t xml:space="preserve">18.3×（Yahoo）。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85.5%）→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69.1%）→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断点：CoWoS</w:t>
      </w:r>
      <w:r>
        <w:t xml:space="preserve"> allocation, customer concentration, VMware renewal </w:t>
      </w:r>
      <w:r>
        <w:rPr>
          <w:rFonts w:hint="eastAsia"/>
        </w:rPr>
        <w:t xml:space="preserve">cycle｜CoWoS配额、客户集中度、VMware续约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折现。AVGO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12.6%；最新季度毛利率</w:t>
      </w:r>
      <w:r>
        <w:t xml:space="preserve"> </w:t>
      </w:r>
      <w:r>
        <w:rPr>
          <w:rFonts w:hint="eastAsia"/>
        </w:rPr>
        <w:t xml:space="preserve">69.1%；收入同比</w:t>
      </w:r>
      <w:r>
        <w:t xml:space="preserve"> </w:t>
      </w:r>
      <w:r>
        <w:rPr>
          <w:rFonts w:hint="eastAsia"/>
        </w:rPr>
        <w:t xml:space="preserve">85.5%。新闻多数改变的是现金流预期，而非折现率。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竞争者：NVDA,</w:t>
      </w:r>
      <w:r>
        <w:t xml:space="preserve"> Marvell, Alchip/GUC/MediaTek (ASIC), Arista/Cisco </w:t>
      </w:r>
      <w:r>
        <w:rPr>
          <w:rFonts w:hint="eastAsia"/>
        </w:rPr>
        <w:t xml:space="preserve">(switching)｜NVDA、Marvell、世芯/创意/联发科、Arista/思科。客户：Google</w:t>
      </w:r>
      <w:r>
        <w:t xml:space="preserve"> (TPU), Meta, ByteDance, OpenAI, Anthropic, Apple; enterprises </w:t>
      </w:r>
      <w:r>
        <w:rPr>
          <w:rFonts w:hint="eastAsia"/>
        </w:rPr>
        <w:t xml:space="preserve">(VMware)｜谷歌TPU、Meta、字节、OpenAI、Anthropic、苹果；企业(VMware)。若</w:t>
      </w:r>
      <w:r>
        <w:t xml:space="preserve"> AVGO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看多会错，如果：Customer</w:t>
      </w:r>
      <w:r>
        <w:t xml:space="preserve">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40.9%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64.1%；近几季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+4% / 2026-01 +1% / 2026-04 +2% / 2026-07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买方押：Multiple</w:t>
      </w:r>
      <w:r>
        <w:t xml:space="preserve"> XPU customers in volume; Ethernet scale-up/out wins; software </w:t>
      </w:r>
      <w:r>
        <w:rPr>
          <w:rFonts w:hint="eastAsia"/>
        </w:rPr>
        <w:t xml:space="preserve">stable｜多XPU客户放量；以太网胜出；软件稳定。卖方押：Customer</w:t>
      </w:r>
      <w:r>
        <w:t xml:space="preserve"> in-sourcing (e.g., MediaTek on TPU), lumpy AI revenue, debt from </w:t>
      </w:r>
      <w:r>
        <w:rPr>
          <w:rFonts w:hint="eastAsia"/>
        </w:rPr>
        <w:t xml:space="preserve">VMware｜客户转单、AI收入波动、VMware债务。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2009 </w:t>
      </w:r>
      <w:r>
        <w:rPr>
          <w:rFonts w:hint="eastAsia"/>
        </w:rPr>
        <w:t xml:space="preserve">年以来最大的三次回撤：2020-02→2020-03</w:t>
      </w:r>
      <w:r>
        <w:t xml:space="preserve"> </w:t>
      </w:r>
      <w:r>
        <w:rPr>
          <w:rFonts w:hint="eastAsia"/>
        </w:rPr>
        <w:t xml:space="preserve">-48%；2024-12→2025-04</w:t>
      </w:r>
      <w:r>
        <w:t xml:space="preserve"> </w:t>
      </w:r>
      <w:r>
        <w:rPr>
          <w:rFonts w:hint="eastAsia"/>
        </w:rPr>
        <w:t xml:space="preserve">-41%；2021-12→2022-10</w:t>
      </w:r>
      <w:r>
        <w:t xml:space="preserve"> </w:t>
      </w:r>
      <w:r>
        <w:rPr>
          <w:rFonts w:hint="eastAsia"/>
        </w:rPr>
        <w:t xml:space="preserve">-35%；中位数</w:t>
      </w:r>
      <w:r>
        <w:t xml:space="preserve"> </w:t>
      </w:r>
      <w:r>
        <w:rPr>
          <w:rFonts w:hint="eastAsia"/>
        </w:rPr>
        <w:t xml:space="preserve">-41%。当前距高点</w:t>
      </w:r>
      <w:r>
        <w:t xml:space="preserve"> </w:t>
      </w:r>
      <w:r>
        <w:rPr>
          <w:rFonts w:hint="eastAsia"/>
        </w:rPr>
        <w:t xml:space="preserve">-26.1%。毛利率区间：63.0%–69.5%（本快照内）。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博通是’XPU/TPU替代GPU’趋势的核心受益者，加上Tomahawk/Jericho以太网与VMware现金流；高客户集中度意味着单一客户项目变动影响巨大。（HYPOTHESIS）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$354.73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$774 </w:t>
      </w:r>
      <w:r>
        <w:rPr>
          <w:rFonts w:hint="eastAsia"/>
        </w:rPr>
        <w:t xml:space="preserve">-54.2%，安全边际取决于假设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2020-02→2020-03 </w:t>
      </w:r>
      <w:r>
        <w:rPr>
          <w:rFonts w:hint="eastAsia"/>
        </w:rPr>
        <w:t xml:space="preserve">-48%；2024-12→2025-04</w:t>
      </w:r>
      <w:r>
        <w:t xml:space="preserve"> </w:t>
      </w:r>
      <w:r>
        <w:rPr>
          <w:rFonts w:hint="eastAsia"/>
        </w:rPr>
        <w:t xml:space="preserve">-41%；2021-12→2022-10</w:t>
      </w:r>
      <w:r>
        <w:t xml:space="preserve"> -35%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$354.73 vs Base </w:t>
            </w:r>
            <w:r>
              <w:rPr>
                <w:rFonts w:hint="eastAsia"/>
              </w:rPr>
              <w:t xml:space="preserve">价值</w:t>
            </w:r>
            <w:r>
              <w:t xml:space="preserve"> $774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40.9% vs </w:t>
            </w:r>
            <w:r>
              <w:rPr>
                <w:rFonts w:hint="eastAsia"/>
              </w:rPr>
              <w:t xml:space="preserve">一致预期</w:t>
            </w:r>
            <w:r>
              <w:t xml:space="preserve"> 64.1%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67.1% → 69.1%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+2% → +3%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+85.5%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-26.1%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13 : </w:t>
      </w:r>
      <w:r>
        <w:rPr>
          <w:rFonts w:hint="eastAsia"/>
        </w:rPr>
        <w:t xml:space="preserve">0）。这是对现有数据的机械称重，不是买卖结论；最该做的是盯住证伪清单。（我们的判断，可能出错）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40.9%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85.5%）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69.1%）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AI revenue, XPU customers count, software revenue, FCF, net </w:t>
            </w:r>
            <w:r>
              <w:rPr>
                <w:rFonts w:hint="eastAsia"/>
              </w:rPr>
              <w:t xml:space="preserve">debt｜AI收入、XPU客户数、软件收入、FCF、净负债</w:t>
            </w:r>
          </w:p>
        </w:tc>
        <w:tc>
          <w:tcPr/>
          <w:p>
            <w:pPr>
              <w:pStyle w:val="Compact"/>
            </w:pPr>
            <w:r>
              <w:t xml:space="preserve">AI semi revenue guide decelerates; key XPU customer shifts vendor; VMware revenue </w:t>
            </w:r>
            <w:r>
              <w:rPr>
                <w:rFonts w:hint="eastAsia"/>
              </w:rPr>
              <w:t xml:space="preserve">declines｜AI半导体指引放缓；主要XPU客户转供应商；VMware收入下降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12.6%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40.9%、共识</w:t>
      </w:r>
      <w:r>
        <w:t xml:space="preserve"> </w:t>
      </w:r>
      <w:r>
        <w:rPr>
          <w:rFonts w:hint="eastAsia"/>
        </w:rPr>
        <w:t xml:space="preserve">64.1%。如果公司下季’超预期’但只超共识不超隐含，股价可能怎样？为什么？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69.1%，区间</w:t>
      </w:r>
      <w:r>
        <w:t xml:space="preserve"> </w:t>
      </w:r>
      <w:r>
        <w:rPr>
          <w:rFonts w:hint="eastAsia"/>
        </w:rPr>
        <w:t xml:space="preserve">63.0%–69.5%。用’第一性原理’说明利润率下降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-41%，当前</w:t>
      </w:r>
      <w:r>
        <w:t xml:space="preserve"> </w:t>
      </w:r>
      <w:r>
        <w:rPr>
          <w:rFonts w:hint="eastAsia"/>
        </w:rPr>
        <w:t xml:space="preserve">-26.1%。为什么’已经跌了很多’不能单独作为买入理由？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2-10-财报后填写"/>
    <w:p>
      <w:pPr>
        <w:pStyle w:val="Heading2"/>
      </w:pPr>
      <w:r>
        <w:rPr>
          <w:rFonts w:hint="eastAsia"/>
        </w:rPr>
        <w:t xml:space="preserve">八、事后推理复盘（2026-12-10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AVGO thinking-first edition. Price $354.73; -26.1% from 2026-06-02 high. Reverse DCF: price implies ~40.9% Y1 growth vs consensus 64.1%. Scenario values $179/$774/$1,827; WACC 12.6%. Base rates: largest drawdowns since 2009: 2020-02→2020-03 </w:t>
      </w:r>
      <w:r>
        <w:rPr>
          <w:rFonts w:hint="eastAsia"/>
        </w:rPr>
        <w:t xml:space="preserve">-48%；2024-12→2025-04</w:t>
      </w:r>
      <w:r>
        <w:t xml:space="preserve"> </w:t>
      </w:r>
      <w:r>
        <w:rPr>
          <w:rFonts w:hint="eastAsia"/>
        </w:rPr>
        <w:t xml:space="preserve">-41%；2021-12→2022-10</w:t>
      </w:r>
      <w:r>
        <w:t xml:space="preserve"> -35%. Evidence weighting 13:0 (bull:bear).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2026-10-13T13:08:58Z</dcterms:created>
  <dcterms:modified xsi:type="dcterms:W3CDTF">2026-10-13T13:08:58Z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