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6da7990bfc78207ff0ce14874debf9cd21ce7e"/>
    <w:p>
      <w:pPr>
        <w:pStyle w:val="Heading1"/>
      </w:pPr>
      <w:r>
        <w:t xml:space="preserve">CCL Carnival Corporation Ltd.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$26.48｜市值</w:t>
      </w:r>
      <w:r>
        <w:t xml:space="preserve"> 35.6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嘉年华是高杠杆的消费周期股，去杠杆与净收益率(net</w:t>
      </w:r>
      <w:r>
        <w:t xml:space="preserve"> </w:t>
      </w:r>
      <w:r>
        <w:rPr>
          <w:rFonts w:hint="eastAsia"/>
        </w:rPr>
        <w:t xml:space="preserve">yield)提升推动重估；对油价、利率与消费信心敏感，为观察名单中的宏观/消费对照组。</w:t>
      </w:r>
    </w:p>
    <w:p>
      <w:pPr>
        <w:pStyle w:val="Compact"/>
        <w:numPr>
          <w:ilvl w:val="0"/>
          <w:numId w:val="1001"/>
        </w:numPr>
      </w:pPr>
      <w:r>
        <w:rPr>
          <w:rFonts w:hint="eastAsia"/>
          <w:b/>
          <w:bCs/>
        </w:rPr>
        <w:t xml:space="preserve">多头驱动</w:t>
      </w:r>
      <w:r>
        <w:t xml:space="preserve">: Yields keep rising; investment-grade rating; </w:t>
      </w:r>
      <w:r>
        <w:rPr>
          <w:rFonts w:hint="eastAsia"/>
        </w:rPr>
        <w:t xml:space="preserve">buybacks/dividend｜收益率续升；投资级评级；回购分红</w:t>
      </w:r>
    </w:p>
    <w:p>
      <w:pPr>
        <w:pStyle w:val="Compact"/>
        <w:numPr>
          <w:ilvl w:val="0"/>
          <w:numId w:val="1001"/>
        </w:numPr>
      </w:pPr>
      <w:r>
        <w:rPr>
          <w:rFonts w:hint="eastAsia"/>
          <w:b/>
          <w:bCs/>
        </w:rPr>
        <w:t xml:space="preserve">空头驱动</w:t>
      </w:r>
      <w:r>
        <w:t xml:space="preserve">: Recession; oil spike; geopolitical </w:t>
      </w:r>
      <w:r>
        <w:rPr>
          <w:rFonts w:hint="eastAsia"/>
        </w:rPr>
        <w:t xml:space="preserve">disruptions｜衰退；油价飙升；地缘干扰</w:t>
      </w:r>
    </w:p>
    <w:p>
      <w:pPr>
        <w:pStyle w:val="Compact"/>
        <w:numPr>
          <w:ilvl w:val="0"/>
          <w:numId w:val="1001"/>
        </w:numPr>
      </w:pPr>
      <w:r>
        <w:rPr>
          <w:rFonts w:hint="eastAsia"/>
          <w:b/>
          <w:bCs/>
        </w:rPr>
        <w:t xml:space="preserve">证伪条件</w:t>
      </w:r>
      <w:r>
        <w:rPr>
          <w:b/>
          <w:bCs/>
        </w:rPr>
        <w:t xml:space="preserve"> Falsifiers</w:t>
      </w:r>
      <w:r>
        <w:t xml:space="preserve">: Net yield guide cut; booking curve </w:t>
      </w:r>
      <w:r>
        <w:rPr>
          <w:rFonts w:hint="eastAsia"/>
        </w:rPr>
        <w:t xml:space="preserve">weakens｜净收益率指引下修；预订曲线走弱</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Cruise / consumer travel </w:t>
      </w:r>
      <w:r>
        <w:rPr>
          <w:rFonts w:hint="eastAsia"/>
        </w:rPr>
        <w:t xml:space="preserve">邮轮/旅游消费</w:t>
      </w:r>
    </w:p>
    <w:p>
      <w:pPr>
        <w:pStyle w:val="Compact"/>
        <w:numPr>
          <w:ilvl w:val="0"/>
          <w:numId w:val="1002"/>
        </w:numPr>
      </w:pPr>
      <w:r>
        <w:rPr>
          <w:rFonts w:hint="eastAsia"/>
        </w:rPr>
        <w:t xml:space="preserve">业务分部</w:t>
      </w:r>
      <w:r>
        <w:t xml:space="preserve"> Segments: North America &amp; Australia </w:t>
      </w:r>
      <w:r>
        <w:rPr>
          <w:rFonts w:hint="eastAsia"/>
        </w:rPr>
        <w:t xml:space="preserve">北美澳洲；Europe</w:t>
      </w:r>
      <w:r>
        <w:t xml:space="preserve"> </w:t>
      </w:r>
      <w:r>
        <w:rPr>
          <w:rFonts w:hint="eastAsia"/>
        </w:rPr>
        <w:t xml:space="preserve">欧洲</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02"/>
        </w:numPr>
      </w:pPr>
      <w:r>
        <w:rPr>
          <w:rFonts w:hint="eastAsia"/>
        </w:rPr>
        <w:t xml:space="preserve">主要客户:</w:t>
      </w:r>
      <w:r>
        <w:t xml:space="preserve"> Leisure </w:t>
      </w:r>
      <w:r>
        <w:rPr>
          <w:rFonts w:hint="eastAsia"/>
        </w:rPr>
        <w:t xml:space="preserve">travelers｜休闲旅客</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Shipyards (Fincantieri, Meyer Werft), fuel </w:t>
      </w:r>
      <w:r>
        <w:rPr>
          <w:rFonts w:hint="eastAsia"/>
        </w:rPr>
        <w:t xml:space="preserve">suppliers｜造船厂、燃油供应商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Royal Caribbean, Norwegian, land-based </w:t>
      </w:r>
      <w:r>
        <w:rPr>
          <w:rFonts w:hint="eastAsia"/>
        </w:rPr>
        <w:t xml:space="preserve">vacations｜皇家加勒比、挪威邮轮、陆地度假</w:t>
      </w:r>
    </w:p>
    <w:p>
      <w:pPr>
        <w:pStyle w:val="Compact"/>
        <w:numPr>
          <w:ilvl w:val="0"/>
          <w:numId w:val="1003"/>
        </w:numPr>
      </w:pPr>
      <w:r>
        <w:rPr>
          <w:rFonts w:hint="eastAsia"/>
        </w:rPr>
        <w:t xml:space="preserve">瓶颈/监管:</w:t>
      </w:r>
      <w:r>
        <w:t xml:space="preserve"> Fuel cost, debt refinancing, ship </w:t>
      </w:r>
      <w:r>
        <w:rPr>
          <w:rFonts w:hint="eastAsia"/>
        </w:rPr>
        <w:t xml:space="preserve">deliveries｜燃油成本、债务再融资、新船交付</w:t>
      </w:r>
    </w:p>
    <w:p>
      <w:pPr>
        <w:pStyle w:val="Compact"/>
        <w:numPr>
          <w:ilvl w:val="0"/>
          <w:numId w:val="1003"/>
        </w:numPr>
      </w:pPr>
      <w:r>
        <w:rPr>
          <w:rFonts w:hint="eastAsia"/>
        </w:rPr>
        <w:t xml:space="preserve">关键KPI:</w:t>
      </w:r>
      <w:r>
        <w:t xml:space="preserve"> Net yields, occupancy, net debt/EBITDA, fuel </w:t>
      </w:r>
      <w:r>
        <w:rPr>
          <w:rFonts w:hint="eastAsia"/>
        </w:rPr>
        <w:t xml:space="preserve">cost/ton｜净收益率、上座率、净负债/EBITDA、燃油成本</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1.2 bn </w:t>
      </w:r>
      <w:r>
        <w:rPr>
          <w:rFonts w:hint="eastAsia"/>
        </w:rPr>
        <w:t xml:space="preserve">USD；总负债</w:t>
      </w:r>
      <w:r>
        <w:t xml:space="preserve"> 25.2 bn </w:t>
      </w:r>
      <w:r>
        <w:rPr>
          <w:rFonts w:hint="eastAsia"/>
        </w:rPr>
        <w:t xml:space="preserve">USD；净现金</w:t>
      </w:r>
      <w:r>
        <w:t xml:space="preserve"> -23.9 bn USD。TTM FCF 3.2 bn </w:t>
      </w:r>
      <w:r>
        <w:rPr>
          <w:rFonts w:hint="eastAsia"/>
        </w:rPr>
        <w:t xml:space="preserve">USD（FCF率</w:t>
      </w:r>
      <w:r>
        <w:t xml:space="preserve"> </w:t>
      </w:r>
      <w:r>
        <w:rPr>
          <w:rFonts w:hint="eastAsia"/>
        </w:rPr>
        <w:t xml:space="preserve">11.6%）。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2026-12-18</w:t>
      </w:r>
      <w:r>
        <w:rPr>
          <w:rFonts w:hint="eastAsia"/>
        </w:rPr>
        <w:t xml:space="preserve">；本季EPS一致预期</w:t>
      </w:r>
      <w:r>
        <w:t xml:space="preserve"> </w:t>
      </w:r>
      <w:r>
        <w:rPr>
          <w:rFonts w:hint="eastAsia"/>
        </w:rPr>
        <w:t xml:space="preserve">0.2167（21位分析师）；收入一致预期</w:t>
      </w:r>
      <w:r>
        <w:t xml:space="preserve"> 6.5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$14.34</w:t>
            </w:r>
          </w:p>
        </w:tc>
        <w:tc>
          <w:tcPr/>
          <w:p>
            <w:pPr>
              <w:pStyle w:val="Compact"/>
            </w:pPr>
            <w:r>
              <w:t xml:space="preserve">-45.8%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48.8%</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150.4%</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-52.2%</w:t>
            </w:r>
          </w:p>
        </w:tc>
      </w:tr>
      <w:tr>
        <w:tc>
          <w:tcPr/>
          <w:p>
            <w:pPr>
              <w:pStyle w:val="Compact"/>
            </w:pPr>
            <w:r>
              <w:t xml:space="preserve">4Q</w:t>
            </w:r>
          </w:p>
        </w:tc>
        <w:tc>
          <w:tcPr/>
          <w:p>
            <w:pPr>
              <w:pStyle w:val="Compact"/>
            </w:pPr>
            <w:r>
              <w:t xml:space="preserve">Base</w:t>
            </w:r>
          </w:p>
        </w:tc>
        <w:tc>
          <w:tcPr/>
          <w:p>
            <w:pPr>
              <w:pStyle w:val="Compact"/>
            </w:pPr>
            <w:r>
              <w:t xml:space="preserve">$37.07</w:t>
            </w:r>
          </w:p>
        </w:tc>
        <w:tc>
          <w:tcPr/>
          <w:p>
            <w:pPr>
              <w:pStyle w:val="Compact"/>
            </w:pPr>
            <w:r>
              <w:t xml:space="preserve">40.0%</w:t>
            </w:r>
          </w:p>
        </w:tc>
      </w:tr>
      <w:tr>
        <w:tc>
          <w:tcPr/>
          <w:p>
            <w:pPr>
              <w:pStyle w:val="Compact"/>
            </w:pPr>
            <w:r>
              <w:t xml:space="preserve">4Q</w:t>
            </w:r>
          </w:p>
        </w:tc>
        <w:tc>
          <w:tcPr/>
          <w:p>
            <w:pPr>
              <w:pStyle w:val="Compact"/>
            </w:pPr>
            <w:r>
              <w:t xml:space="preserve">Bull</w:t>
            </w:r>
          </w:p>
        </w:tc>
        <w:tc>
          <w:tcPr/>
          <w:p>
            <w:pPr>
              <w:pStyle w:val="Compact"/>
            </w:pPr>
            <w:r>
              <w:t xml:space="preserve">$63.95</w:t>
            </w:r>
          </w:p>
        </w:tc>
        <w:tc>
          <w:tcPr/>
          <w:p>
            <w:pPr>
              <w:pStyle w:val="Compact"/>
            </w:pPr>
            <w:r>
              <w:t xml:space="preserve">141.5%</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-58.1%</w:t>
            </w:r>
          </w:p>
        </w:tc>
      </w:tr>
      <w:tr>
        <w:tc>
          <w:tcPr/>
          <w:p>
            <w:pPr>
              <w:pStyle w:val="Compact"/>
            </w:pPr>
            <w:r>
              <w:t xml:space="preserve">6Q</w:t>
            </w:r>
          </w:p>
        </w:tc>
        <w:tc>
          <w:tcPr/>
          <w:p>
            <w:pPr>
              <w:pStyle w:val="Compact"/>
            </w:pPr>
            <w:r>
              <w:t xml:space="preserve">Base</w:t>
            </w:r>
          </w:p>
        </w:tc>
        <w:tc>
          <w:tcPr/>
          <w:p>
            <w:pPr>
              <w:pStyle w:val="Compact"/>
            </w:pPr>
            <w:r>
              <w:t xml:space="preserve">$34.88</w:t>
            </w:r>
          </w:p>
        </w:tc>
        <w:tc>
          <w:tcPr/>
          <w:p>
            <w:pPr>
              <w:pStyle w:val="Compact"/>
            </w:pPr>
            <w:r>
              <w:t xml:space="preserve">31.7%</w:t>
            </w:r>
          </w:p>
        </w:tc>
      </w:tr>
      <w:tr>
        <w:tc>
          <w:tcPr/>
          <w:p>
            <w:pPr>
              <w:pStyle w:val="Compact"/>
            </w:pPr>
            <w:r>
              <w:t xml:space="preserve">6Q</w:t>
            </w:r>
          </w:p>
        </w:tc>
        <w:tc>
          <w:tcPr/>
          <w:p>
            <w:pPr>
              <w:pStyle w:val="Compact"/>
            </w:pPr>
            <w:r>
              <w:t xml:space="preserve">Bull</w:t>
            </w:r>
          </w:p>
        </w:tc>
        <w:tc>
          <w:tcPr/>
          <w:p>
            <w:pPr>
              <w:pStyle w:val="Compact"/>
            </w:pPr>
            <w:r>
              <w:t xml:space="preserve">$61.67</w:t>
            </w:r>
          </w:p>
        </w:tc>
        <w:tc>
          <w:tcPr/>
          <w:p>
            <w:pPr>
              <w:pStyle w:val="Compact"/>
            </w:pPr>
            <w:r>
              <w:t xml:space="preserve">132.9%</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-63.4%</w:t>
            </w:r>
          </w:p>
        </w:tc>
      </w:tr>
      <w:tr>
        <w:tc>
          <w:tcPr/>
          <w:p>
            <w:pPr>
              <w:pStyle w:val="Compact"/>
            </w:pPr>
            <w:r>
              <w:t xml:space="preserve">8Q</w:t>
            </w:r>
          </w:p>
        </w:tc>
        <w:tc>
          <w:tcPr/>
          <w:p>
            <w:pPr>
              <w:pStyle w:val="Compact"/>
            </w:pPr>
            <w:r>
              <w:t xml:space="preserve">Base</w:t>
            </w:r>
          </w:p>
        </w:tc>
        <w:tc>
          <w:tcPr/>
          <w:p>
            <w:pPr>
              <w:pStyle w:val="Compact"/>
            </w:pPr>
            <w:r>
              <w:t xml:space="preserve">$32.80</w:t>
            </w:r>
          </w:p>
        </w:tc>
        <w:tc>
          <w:tcPr/>
          <w:p>
            <w:pPr>
              <w:pStyle w:val="Compact"/>
            </w:pPr>
            <w:r>
              <w:t xml:space="preserve">23.9%</w:t>
            </w:r>
          </w:p>
        </w:tc>
      </w:tr>
      <w:tr>
        <w:tc>
          <w:tcPr/>
          <w:p>
            <w:pPr>
              <w:pStyle w:val="Compact"/>
            </w:pPr>
            <w:r>
              <w:t xml:space="preserve">8Q</w:t>
            </w:r>
          </w:p>
        </w:tc>
        <w:tc>
          <w:tcPr/>
          <w:p>
            <w:pPr>
              <w:pStyle w:val="Compact"/>
            </w:pPr>
            <w:r>
              <w:t xml:space="preserve">Bull</w:t>
            </w:r>
          </w:p>
        </w:tc>
        <w:tc>
          <w:tcPr/>
          <w:p>
            <w:pPr>
              <w:pStyle w:val="Compact"/>
            </w:pPr>
            <w:r>
              <w:t xml:space="preserve">$59.48</w:t>
            </w:r>
          </w:p>
        </w:tc>
        <w:tc>
          <w:tcPr/>
          <w:p>
            <w:pPr>
              <w:pStyle w:val="Compact"/>
            </w:pPr>
            <w:r>
              <w:t xml:space="preserve">124.6%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18.5x</w:t>
            </w:r>
          </w:p>
        </w:tc>
      </w:tr>
      <w:tr>
        <w:tc>
          <w:tcPr/>
          <w:p>
            <w:pPr>
              <w:pStyle w:val="Compact"/>
            </w:pPr>
            <w:r>
              <w:t xml:space="preserve">4Q</w:t>
            </w:r>
          </w:p>
        </w:tc>
        <w:tc>
          <w:tcPr/>
          <w:p>
            <w:pPr>
              <w:pStyle w:val="Compact"/>
            </w:pPr>
            <w:r>
              <w:t xml:space="preserve">18.5x</w:t>
            </w:r>
          </w:p>
        </w:tc>
      </w:tr>
      <w:tr>
        <w:tc>
          <w:tcPr/>
          <w:p>
            <w:pPr>
              <w:pStyle w:val="Compact"/>
            </w:pPr>
            <w:r>
              <w:t xml:space="preserve">6Q</w:t>
            </w:r>
          </w:p>
        </w:tc>
        <w:tc>
          <w:tcPr/>
          <w:p>
            <w:pPr>
              <w:pStyle w:val="Compact"/>
            </w:pPr>
            <w:r>
              <w:t xml:space="preserve">18.5x</w:t>
            </w:r>
          </w:p>
        </w:tc>
      </w:tr>
      <w:tr>
        <w:tc>
          <w:tcPr/>
          <w:p>
            <w:pPr>
              <w:pStyle w:val="Compact"/>
            </w:pPr>
            <w:r>
              <w:t xml:space="preserve">8Q</w:t>
            </w:r>
          </w:p>
        </w:tc>
        <w:tc>
          <w:tcPr/>
          <w:p>
            <w:pPr>
              <w:pStyle w:val="Compact"/>
            </w:pPr>
            <w:r>
              <w:t xml:space="preserve">18.5x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$-2.77</w:t>
            </w:r>
          </w:p>
        </w:tc>
        <w:tc>
          <w:tcPr/>
          <w:p>
            <w:pPr>
              <w:pStyle w:val="Compact"/>
            </w:pPr>
            <w:r>
              <w:t xml:space="preserve">-110.5%</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$3.52</w:t>
            </w:r>
          </w:p>
        </w:tc>
        <w:tc>
          <w:tcPr/>
          <w:p>
            <w:pPr>
              <w:pStyle w:val="Compact"/>
            </w:pPr>
            <w:r>
              <w:t xml:space="preserve">-86.7%</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$9.30</w:t>
            </w:r>
          </w:p>
        </w:tc>
        <w:tc>
          <w:tcPr/>
          <w:p>
            <w:pPr>
              <w:pStyle w:val="Compact"/>
            </w:pPr>
            <w:r>
              <w:t xml:space="preserve">-64.9%</w:t>
            </w:r>
          </w:p>
        </w:tc>
      </w:tr>
    </w:tbl>
    <w:p>
      <w:pPr>
        <w:pStyle w:val="BodyText"/>
      </w:pPr>
      <w:r>
        <w:rPr>
          <w:rFonts w:hint="eastAsia"/>
        </w:rPr>
        <w:t xml:space="preserve">概率加权价值</w:t>
      </w:r>
      <w:r>
        <w:t xml:space="preserve"> </w:t>
      </w:r>
      <w:r>
        <w:rPr>
          <w:b/>
          <w:bCs/>
        </w:rPr>
        <w:t xml:space="preserve">$3.39</w:t>
      </w:r>
      <w:r>
        <w:rPr>
          <w:rFonts w:hint="eastAsia"/>
        </w:rPr>
        <w:t xml:space="preserve">（相对现价</w:t>
      </w:r>
      <w:r>
        <w:t xml:space="preserve"> </w:t>
      </w:r>
      <w:r>
        <w:rPr>
          <w:rFonts w:hint="eastAsia"/>
        </w:rPr>
        <w:t xml:space="preserve">-87.2%）。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28.7 bn </w:t>
      </w:r>
      <w:r>
        <w:rPr>
          <w:rFonts w:hint="eastAsia"/>
        </w:rPr>
        <w:t xml:space="preserve">USD；终值占比</w:t>
      </w:r>
      <w:r>
        <w:t xml:space="preserve"> 37.9%。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22.9%</w:t>
      </w:r>
      <w:r>
        <w:rPr>
          <w:rFonts w:hint="eastAsia"/>
        </w:rPr>
        <w:t xml:space="preserve">；一致预期FY+1增速</w:t>
      </w:r>
      <w:r>
        <w:t xml:space="preserve"> 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North America &amp; Australia </w:t>
      </w:r>
      <w:r>
        <w:rPr>
          <w:rFonts w:hint="eastAsia"/>
        </w:rPr>
        <w:t xml:space="preserve">北美澳洲;</w:t>
      </w:r>
      <w:r>
        <w:t xml:space="preserve"> Europe </w:t>
      </w:r>
      <w:r>
        <w:rPr>
          <w:rFonts w:hint="eastAsia"/>
        </w:rPr>
        <w:t xml:space="preserve">欧洲.</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CCL | 35.6 bn USD | 2.2x | 10.3x | 3.5% | 55.4% | 9.0% |</w:t>
      </w:r>
      <w:r>
        <w:t xml:space="preserve"> </w:t>
      </w:r>
      <w:r>
        <w:t xml:space="preserve">| RCL | 75.1 bn USD | 5.2x | 13.8x | 6.5% | 50.3% | -2.0% |</w:t>
      </w:r>
      <w:r>
        <w:t xml:space="preserve"> </w:t>
      </w:r>
      <w:r>
        <w:t xml:space="preserve">| NCLH | 7.0 bn USD | 2.2x | 9.5x | 4.9% | 42.5% | -23.8% |</w:t>
      </w:r>
      <w:r>
        <w:t xml:space="preserve"> </w:t>
      </w:r>
      <w:r>
        <w:t xml:space="preserve">| VIK | 36.1 bn USD | 5.5x | 18.5x | 16.5% | 44.3%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Recession; oil spike; geopolitical </w:t>
      </w:r>
      <w:r>
        <w:rPr>
          <w:rFonts w:hint="eastAsia"/>
        </w:rPr>
        <w:t xml:space="preserve">disruptions｜衰退；油价飙升；地缘干扰</w:t>
      </w:r>
    </w:p>
    <w:p>
      <w:pPr>
        <w:pStyle w:val="Compact"/>
        <w:numPr>
          <w:ilvl w:val="0"/>
          <w:numId w:val="1006"/>
        </w:numPr>
      </w:pPr>
      <w:r>
        <w:rPr>
          <w:rFonts w:hint="eastAsia"/>
        </w:rPr>
        <w:t xml:space="preserve">证伪指标:</w:t>
      </w:r>
      <w:r>
        <w:t xml:space="preserve"> Net yield guide cut; booking curve </w:t>
      </w:r>
      <w:r>
        <w:rPr>
          <w:rFonts w:hint="eastAsia"/>
        </w:rPr>
        <w:t xml:space="preserve">weakens｜净收益率指引下修；预订曲线走弱</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26.48</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3.561e+10</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1.22e+09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2.516e+10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2.759e+10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3.2e+09</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2.381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0.042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0.0312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0.0312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0.116</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CCL_model_v20261013-1622.xlsx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C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C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C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C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C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f4074e99803847f27eebcd4989da026c3d0adb"/>
    <w:p>
      <w:pPr>
        <w:pStyle w:val="Heading1"/>
      </w:pPr>
      <w:r>
        <w:t xml:space="preserve">CCL Carnival Corporation Ltd. — Equity Deep Dive (Professional English) v20261013-1622</w:t>
      </w:r>
    </w:p>
    <w:p>
      <w:pPr>
        <w:pStyle w:val="BlockText"/>
      </w:pPr>
      <w:r>
        <w:t xml:space="preserve">Data as of 2026-10-13 16:22 SGT | Price $26.48 | Mkt cap 35.6 bn USD | Reporting currency USD | Not investment advice.</w:t>
      </w:r>
    </w:p>
    <w:bookmarkStart w:id="39" w:name="investment-thesis-hypothesis"/>
    <w:p>
      <w:pPr>
        <w:pStyle w:val="Heading2"/>
      </w:pPr>
      <w:r>
        <w:t xml:space="preserve">1. Investment thesis (HYPOTHESIS)</w:t>
      </w:r>
    </w:p>
    <w:p>
      <w:pPr>
        <w:pStyle w:val="FirstParagraph"/>
      </w:pPr>
      <w:r>
        <w:t xml:space="preserve">Carnival is a levered consumer-cyclical; deleveraging and net-yield gains drive rerating. Sensitive to oil, rates and consumer confidence—a macro/consumer control group in the watchlist.</w:t>
      </w:r>
    </w:p>
    <w:p>
      <w:pPr>
        <w:pStyle w:val="Compact"/>
        <w:numPr>
          <w:ilvl w:val="0"/>
          <w:numId w:val="1009"/>
        </w:numPr>
      </w:pPr>
      <w:r>
        <w:rPr>
          <w:b/>
          <w:bCs/>
        </w:rPr>
        <w:t xml:space="preserve">Bull drivers</w:t>
      </w:r>
      <w:r>
        <w:t xml:space="preserve">: Yields keep rising; investment-grade rating; </w:t>
      </w:r>
      <w:r>
        <w:rPr>
          <w:rFonts w:hint="eastAsia"/>
        </w:rPr>
        <w:t xml:space="preserve">buybacks/dividend｜收益率续升；投资级评级；回购分红</w:t>
      </w:r>
    </w:p>
    <w:p>
      <w:pPr>
        <w:pStyle w:val="Compact"/>
        <w:numPr>
          <w:ilvl w:val="0"/>
          <w:numId w:val="1009"/>
        </w:numPr>
      </w:pPr>
      <w:r>
        <w:rPr>
          <w:b/>
          <w:bCs/>
        </w:rPr>
        <w:t xml:space="preserve">Bear drivers</w:t>
      </w:r>
      <w:r>
        <w:t xml:space="preserve">: Recession; oil spike; geopolitical </w:t>
      </w:r>
      <w:r>
        <w:rPr>
          <w:rFonts w:hint="eastAsia"/>
        </w:rPr>
        <w:t xml:space="preserve">disruptions｜衰退；油价飙升；地缘干扰</w:t>
      </w:r>
    </w:p>
    <w:p>
      <w:pPr>
        <w:pStyle w:val="Compact"/>
        <w:numPr>
          <w:ilvl w:val="0"/>
          <w:numId w:val="1009"/>
        </w:numPr>
      </w:pPr>
      <w:r>
        <w:rPr>
          <w:b/>
          <w:bCs/>
        </w:rPr>
        <w:t xml:space="preserve">Falsifiers</w:t>
      </w:r>
      <w:r>
        <w:t xml:space="preserve">: Net yield guide cut; booking curve </w:t>
      </w:r>
      <w:r>
        <w:rPr>
          <w:rFonts w:hint="eastAsia"/>
        </w:rPr>
        <w:t xml:space="preserve">weakens｜净收益率指引下修；预订曲线走弱</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Cruise / consumer travel </w:t>
      </w:r>
      <w:r>
        <w:rPr>
          <w:rFonts w:hint="eastAsia"/>
        </w:rPr>
        <w:t xml:space="preserve">邮轮/旅游消费</w:t>
      </w:r>
      <w:r>
        <w:t xml:space="preserve"> | Segments: North America &amp; Australia </w:t>
      </w:r>
      <w:r>
        <w:rPr>
          <w:rFonts w:hint="eastAsia"/>
        </w:rPr>
        <w:t xml:space="preserve">北美澳洲;</w:t>
      </w:r>
      <w:r>
        <w:t xml:space="preserve"> Europe </w:t>
      </w:r>
      <w:r>
        <w:rPr>
          <w:rFonts w:hint="eastAsia"/>
        </w:rPr>
        <w:t xml:space="preserve">欧洲</w:t>
      </w:r>
    </w:p>
    <w:p>
      <w:pPr>
        <w:pStyle w:val="Compact"/>
        <w:numPr>
          <w:ilvl w:val="0"/>
          <w:numId w:val="1010"/>
        </w:numPr>
      </w:pPr>
      <w:r>
        <w:t xml:space="preserve">Business description (DATA):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10"/>
        </w:numPr>
      </w:pPr>
      <w:r>
        <w:t xml:space="preserve">Customers: Leisure </w:t>
      </w:r>
      <w:r>
        <w:rPr>
          <w:rFonts w:hint="eastAsia"/>
        </w:rPr>
        <w:t xml:space="preserve">travelers｜休闲旅客</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Shipyards (Fincantieri, Meyer Werft), fuel </w:t>
      </w:r>
      <w:r>
        <w:rPr>
          <w:rFonts w:hint="eastAsia"/>
        </w:rPr>
        <w:t xml:space="preserve">suppliers｜造船厂、燃油供应商</w:t>
      </w:r>
    </w:p>
    <w:p>
      <w:pPr>
        <w:pStyle w:val="Compact"/>
        <w:numPr>
          <w:ilvl w:val="0"/>
          <w:numId w:val="1011"/>
        </w:numPr>
      </w:pPr>
      <w:r>
        <w:t xml:space="preserve">Competitors: Royal Caribbean, Norwegian, land-based </w:t>
      </w:r>
      <w:r>
        <w:rPr>
          <w:rFonts w:hint="eastAsia"/>
        </w:rPr>
        <w:t xml:space="preserve">vacations｜皇家加勒比、挪威邮轮、陆地度假</w:t>
      </w:r>
    </w:p>
    <w:p>
      <w:pPr>
        <w:pStyle w:val="Compact"/>
        <w:numPr>
          <w:ilvl w:val="0"/>
          <w:numId w:val="1011"/>
        </w:numPr>
      </w:pPr>
      <w:r>
        <w:t xml:space="preserve">Bottlenecks/regulation: Fuel cost, debt refinancing, ship </w:t>
      </w:r>
      <w:r>
        <w:rPr>
          <w:rFonts w:hint="eastAsia"/>
        </w:rPr>
        <w:t xml:space="preserve">deliveries｜燃油成本、债务再融资、新船交付</w:t>
      </w:r>
    </w:p>
    <w:p>
      <w:pPr>
        <w:pStyle w:val="Compact"/>
        <w:numPr>
          <w:ilvl w:val="0"/>
          <w:numId w:val="1011"/>
        </w:numPr>
      </w:pPr>
      <w:r>
        <w:t xml:space="preserve">KPIs: Net yields, occupancy, net debt/EBITDA, fuel </w:t>
      </w:r>
      <w:r>
        <w:rPr>
          <w:rFonts w:hint="eastAsia"/>
        </w:rPr>
        <w:t xml:space="preserve">cost/ton｜净收益率、上座率、净负债/EBITDA、燃油成本</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1.2 bn USD; debt 25.2 bn USD; TTM FCF 3.2 bn USD (FCF margin 11.6%).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2026-12-18</w:t>
      </w:r>
      <w:r>
        <w:t xml:space="preserve">; current-quarter EPS consensus 0.2167 (21 analysts); revenue consensus 6.5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$14.34</w:t>
            </w:r>
          </w:p>
        </w:tc>
        <w:tc>
          <w:tcPr/>
          <w:p>
            <w:pPr>
              <w:pStyle w:val="Compact"/>
            </w:pPr>
            <w:r>
              <w:t xml:space="preserve">-45.8%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48.8%</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150.4%</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-52.2%</w:t>
            </w:r>
          </w:p>
        </w:tc>
      </w:tr>
      <w:tr>
        <w:tc>
          <w:tcPr/>
          <w:p>
            <w:pPr>
              <w:pStyle w:val="Compact"/>
            </w:pPr>
            <w:r>
              <w:t xml:space="preserve">4Q</w:t>
            </w:r>
          </w:p>
        </w:tc>
        <w:tc>
          <w:tcPr/>
          <w:p>
            <w:pPr>
              <w:pStyle w:val="Compact"/>
            </w:pPr>
            <w:r>
              <w:t xml:space="preserve">Base</w:t>
            </w:r>
          </w:p>
        </w:tc>
        <w:tc>
          <w:tcPr/>
          <w:p>
            <w:pPr>
              <w:pStyle w:val="Compact"/>
            </w:pPr>
            <w:r>
              <w:t xml:space="preserve">$37.07</w:t>
            </w:r>
          </w:p>
        </w:tc>
        <w:tc>
          <w:tcPr/>
          <w:p>
            <w:pPr>
              <w:pStyle w:val="Compact"/>
            </w:pPr>
            <w:r>
              <w:t xml:space="preserve">40.0%</w:t>
            </w:r>
          </w:p>
        </w:tc>
      </w:tr>
      <w:tr>
        <w:tc>
          <w:tcPr/>
          <w:p>
            <w:pPr>
              <w:pStyle w:val="Compact"/>
            </w:pPr>
            <w:r>
              <w:t xml:space="preserve">4Q</w:t>
            </w:r>
          </w:p>
        </w:tc>
        <w:tc>
          <w:tcPr/>
          <w:p>
            <w:pPr>
              <w:pStyle w:val="Compact"/>
            </w:pPr>
            <w:r>
              <w:t xml:space="preserve">Bull</w:t>
            </w:r>
          </w:p>
        </w:tc>
        <w:tc>
          <w:tcPr/>
          <w:p>
            <w:pPr>
              <w:pStyle w:val="Compact"/>
            </w:pPr>
            <w:r>
              <w:t xml:space="preserve">$63.95</w:t>
            </w:r>
          </w:p>
        </w:tc>
        <w:tc>
          <w:tcPr/>
          <w:p>
            <w:pPr>
              <w:pStyle w:val="Compact"/>
            </w:pPr>
            <w:r>
              <w:t xml:space="preserve">141.5%</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-58.1%</w:t>
            </w:r>
          </w:p>
        </w:tc>
      </w:tr>
      <w:tr>
        <w:tc>
          <w:tcPr/>
          <w:p>
            <w:pPr>
              <w:pStyle w:val="Compact"/>
            </w:pPr>
            <w:r>
              <w:t xml:space="preserve">6Q</w:t>
            </w:r>
          </w:p>
        </w:tc>
        <w:tc>
          <w:tcPr/>
          <w:p>
            <w:pPr>
              <w:pStyle w:val="Compact"/>
            </w:pPr>
            <w:r>
              <w:t xml:space="preserve">Base</w:t>
            </w:r>
          </w:p>
        </w:tc>
        <w:tc>
          <w:tcPr/>
          <w:p>
            <w:pPr>
              <w:pStyle w:val="Compact"/>
            </w:pPr>
            <w:r>
              <w:t xml:space="preserve">$34.88</w:t>
            </w:r>
          </w:p>
        </w:tc>
        <w:tc>
          <w:tcPr/>
          <w:p>
            <w:pPr>
              <w:pStyle w:val="Compact"/>
            </w:pPr>
            <w:r>
              <w:t xml:space="preserve">31.7%</w:t>
            </w:r>
          </w:p>
        </w:tc>
      </w:tr>
      <w:tr>
        <w:tc>
          <w:tcPr/>
          <w:p>
            <w:pPr>
              <w:pStyle w:val="Compact"/>
            </w:pPr>
            <w:r>
              <w:t xml:space="preserve">6Q</w:t>
            </w:r>
          </w:p>
        </w:tc>
        <w:tc>
          <w:tcPr/>
          <w:p>
            <w:pPr>
              <w:pStyle w:val="Compact"/>
            </w:pPr>
            <w:r>
              <w:t xml:space="preserve">Bull</w:t>
            </w:r>
          </w:p>
        </w:tc>
        <w:tc>
          <w:tcPr/>
          <w:p>
            <w:pPr>
              <w:pStyle w:val="Compact"/>
            </w:pPr>
            <w:r>
              <w:t xml:space="preserve">$61.67</w:t>
            </w:r>
          </w:p>
        </w:tc>
        <w:tc>
          <w:tcPr/>
          <w:p>
            <w:pPr>
              <w:pStyle w:val="Compact"/>
            </w:pPr>
            <w:r>
              <w:t xml:space="preserve">132.9%</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-63.4%</w:t>
            </w:r>
          </w:p>
        </w:tc>
      </w:tr>
      <w:tr>
        <w:tc>
          <w:tcPr/>
          <w:p>
            <w:pPr>
              <w:pStyle w:val="Compact"/>
            </w:pPr>
            <w:r>
              <w:t xml:space="preserve">8Q</w:t>
            </w:r>
          </w:p>
        </w:tc>
        <w:tc>
          <w:tcPr/>
          <w:p>
            <w:pPr>
              <w:pStyle w:val="Compact"/>
            </w:pPr>
            <w:r>
              <w:t xml:space="preserve">Base</w:t>
            </w:r>
          </w:p>
        </w:tc>
        <w:tc>
          <w:tcPr/>
          <w:p>
            <w:pPr>
              <w:pStyle w:val="Compact"/>
            </w:pPr>
            <w:r>
              <w:t xml:space="preserve">$32.80</w:t>
            </w:r>
          </w:p>
        </w:tc>
        <w:tc>
          <w:tcPr/>
          <w:p>
            <w:pPr>
              <w:pStyle w:val="Compact"/>
            </w:pPr>
            <w:r>
              <w:t xml:space="preserve">23.9%</w:t>
            </w:r>
          </w:p>
        </w:tc>
      </w:tr>
      <w:tr>
        <w:tc>
          <w:tcPr/>
          <w:p>
            <w:pPr>
              <w:pStyle w:val="Compact"/>
            </w:pPr>
            <w:r>
              <w:t xml:space="preserve">8Q</w:t>
            </w:r>
          </w:p>
        </w:tc>
        <w:tc>
          <w:tcPr/>
          <w:p>
            <w:pPr>
              <w:pStyle w:val="Compact"/>
            </w:pPr>
            <w:r>
              <w:t xml:space="preserve">Bull</w:t>
            </w:r>
          </w:p>
        </w:tc>
        <w:tc>
          <w:tcPr/>
          <w:p>
            <w:pPr>
              <w:pStyle w:val="Compact"/>
            </w:pPr>
            <w:r>
              <w:t xml:space="preserve">$59.48</w:t>
            </w:r>
          </w:p>
        </w:tc>
        <w:tc>
          <w:tcPr/>
          <w:p>
            <w:pPr>
              <w:pStyle w:val="Compact"/>
            </w:pPr>
            <w:r>
              <w:t xml:space="preserve">124.6%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18.5x</w:t>
            </w:r>
          </w:p>
        </w:tc>
      </w:tr>
      <w:tr>
        <w:tc>
          <w:tcPr/>
          <w:p>
            <w:pPr>
              <w:pStyle w:val="Compact"/>
            </w:pPr>
            <w:r>
              <w:t xml:space="preserve">4Q</w:t>
            </w:r>
          </w:p>
        </w:tc>
        <w:tc>
          <w:tcPr/>
          <w:p>
            <w:pPr>
              <w:pStyle w:val="Compact"/>
            </w:pPr>
            <w:r>
              <w:t xml:space="preserve">18.5x</w:t>
            </w:r>
          </w:p>
        </w:tc>
      </w:tr>
      <w:tr>
        <w:tc>
          <w:tcPr/>
          <w:p>
            <w:pPr>
              <w:pStyle w:val="Compact"/>
            </w:pPr>
            <w:r>
              <w:t xml:space="preserve">6Q</w:t>
            </w:r>
          </w:p>
        </w:tc>
        <w:tc>
          <w:tcPr/>
          <w:p>
            <w:pPr>
              <w:pStyle w:val="Compact"/>
            </w:pPr>
            <w:r>
              <w:t xml:space="preserve">18.5x</w:t>
            </w:r>
          </w:p>
        </w:tc>
      </w:tr>
      <w:tr>
        <w:tc>
          <w:tcPr/>
          <w:p>
            <w:pPr>
              <w:pStyle w:val="Compact"/>
            </w:pPr>
            <w:r>
              <w:t xml:space="preserve">8Q</w:t>
            </w:r>
          </w:p>
        </w:tc>
        <w:tc>
          <w:tcPr/>
          <w:p>
            <w:pPr>
              <w:pStyle w:val="Compact"/>
            </w:pPr>
            <w:r>
              <w:t xml:space="preserve">18.5x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$-2.77</w:t>
            </w:r>
          </w:p>
        </w:tc>
        <w:tc>
          <w:tcPr/>
          <w:p>
            <w:pPr>
              <w:pStyle w:val="Compact"/>
            </w:pPr>
            <w:r>
              <w:t xml:space="preserve">-110.5%</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$3.52</w:t>
            </w:r>
          </w:p>
        </w:tc>
        <w:tc>
          <w:tcPr/>
          <w:p>
            <w:pPr>
              <w:pStyle w:val="Compact"/>
            </w:pPr>
            <w:r>
              <w:t xml:space="preserve">-86.7%</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$9.30</w:t>
            </w:r>
          </w:p>
        </w:tc>
        <w:tc>
          <w:tcPr/>
          <w:p>
            <w:pPr>
              <w:pStyle w:val="Compact"/>
            </w:pPr>
            <w:r>
              <w:t xml:space="preserve">-64.9%</w:t>
            </w:r>
          </w:p>
        </w:tc>
      </w:tr>
    </w:tbl>
    <w:p>
      <w:pPr>
        <w:pStyle w:val="BodyText"/>
      </w:pPr>
      <w:r>
        <w:t xml:space="preserve">Probability-weighted value</w:t>
      </w:r>
      <w:r>
        <w:t xml:space="preserve"> </w:t>
      </w:r>
      <w:r>
        <w:rPr>
          <w:b/>
          <w:bCs/>
        </w:rPr>
        <w:t xml:space="preserve">$3.39</w:t>
      </w:r>
      <w:r>
        <w:t xml:space="preserve"> </w:t>
      </w:r>
      <w:r>
        <w:t xml:space="preserve">(-87.2%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28.7 bn USD; terminal share 37.9%.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22.9%</w:t>
      </w:r>
      <w:r>
        <w:t xml:space="preserve"> </w:t>
      </w:r>
      <w:r>
        <w:t xml:space="preserve">vs consensus FY+1 3.1%.</w:t>
      </w:r>
    </w:p>
    <w:p>
      <w:pPr>
        <w:pStyle w:val="Compact"/>
        <w:numPr>
          <w:ilvl w:val="0"/>
          <w:numId w:val="1013"/>
        </w:numPr>
      </w:pPr>
      <w:r>
        <w:t xml:space="preserve">WACC (CAPM) = rf 5.2% + β 1.60 × ERP 5.0% = 13.2%.</w:t>
      </w:r>
    </w:p>
    <w:p>
      <w:pPr>
        <w:pStyle w:val="Compact"/>
        <w:numPr>
          <w:ilvl w:val="0"/>
          <w:numId w:val="1013"/>
        </w:numPr>
      </w:pPr>
      <w:r>
        <w:t xml:space="preserve">SOTP segments: North America &amp; Australia </w:t>
      </w:r>
      <w:r>
        <w:rPr>
          <w:rFonts w:hint="eastAsia"/>
        </w:rPr>
        <w:t xml:space="preserve">北美澳洲;</w:t>
      </w:r>
      <w:r>
        <w:t xml:space="preserve"> Europe </w:t>
      </w:r>
      <w:r>
        <w:rPr>
          <w:rFonts w:hint="eastAsia"/>
        </w:rPr>
        <w:t xml:space="preserve">欧洲</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Recession; oil spike; geopolitical </w:t>
      </w:r>
      <w:r>
        <w:rPr>
          <w:rFonts w:hint="eastAsia"/>
        </w:rPr>
        <w:t xml:space="preserve">disruptions｜衰退；油价飙升；地缘干扰</w:t>
      </w:r>
      <w:r>
        <w:t xml:space="preserve"> | Falsifiers: Net yield guide cut; booking curve </w:t>
      </w:r>
      <w:r>
        <w:rPr>
          <w:rFonts w:hint="eastAsia"/>
        </w:rPr>
        <w:t xml:space="preserve">weakens｜净收益率指引下修；预订曲线走弱</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CCL_model_v20261013-1622.xlsx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2026-10-13T08:24:58Z</dcterms:created>
  <dcterms:modified xsi:type="dcterms:W3CDTF">2026-10-13T08:24:58Z</dcterms:modified>
</cp:coreProperties>
</file>

<file path=docProps/custom.xml><?xml version="1.0" encoding="utf-8"?>
<Properties xmlns="http://schemas.openxmlformats.org/officeDocument/2006/custom-properties" xmlns:vt="http://schemas.openxmlformats.org/officeDocument/2006/docPropsVTypes"/>
</file>