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58630a16c3b62c8e745253b68d6e1bc7b610c7"/>
    <w:p>
      <w:pPr>
        <w:pStyle w:val="Heading1"/>
      </w:pPr>
      <w:r>
        <w:t xml:space="preserve">CCL Carnival Corporation Ltd.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Carnival Corporation Ltd.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$26.48；距</w:t>
      </w:r>
      <w:r>
        <w:t xml:space="preserve"> 2018-01-29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-59.4%。主题：Cruise</w:t>
      </w:r>
      <w:r>
        <w:t xml:space="preserve"> / consumer travel </w:t>
      </w:r>
      <w:r>
        <w:rPr>
          <w:rFonts w:hint="eastAsia"/>
        </w:rPr>
        <w:t xml:space="preserve">邮轮/旅游消费。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22.9%，一致预期</w:t>
      </w:r>
      <w:r>
        <w:t xml:space="preserve"> </w:t>
      </w:r>
      <w:r>
        <w:rPr>
          <w:rFonts w:hint="eastAsia"/>
        </w:rPr>
        <w:t xml:space="preserve">3.1%；三情景价值</w:t>
      </w:r>
      <w:r>
        <w:t xml:space="preserve"> $-3/$4/$9。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2026-12-18（TENTATIVE</w:t>
      </w:r>
      <w:r>
        <w:t xml:space="preserve"> </w:t>
      </w:r>
      <w:r>
        <w:rPr>
          <w:rFonts w:hint="eastAsia"/>
        </w:rPr>
        <w:t xml:space="preserve">直至公司确认）；盯：净收益率、上座率、净负债/EBITDA、燃油成本。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Cruise / consumer travel </w:t>
      </w:r>
      <w:r>
        <w:rPr>
          <w:rFonts w:hint="eastAsia"/>
        </w:rPr>
        <w:t xml:space="preserve">邮轮/旅游消费。持有者在乎的是：嘉年华是高杠杆的消费周期股，去杠杆与净收益率(net</w:t>
      </w:r>
      <w:r>
        <w:t xml:space="preserve"> </w:t>
      </w:r>
      <w:r>
        <w:rPr>
          <w:rFonts w:hint="eastAsia"/>
        </w:rPr>
        <w:t xml:space="preserve">yield)提升推动重估；对油价、利率与消费信心敏感，为观察名单中的宏观/消费对照组。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22.9%，一致预期</w:t>
      </w:r>
      <w:r>
        <w:t xml:space="preserve"> </w:t>
      </w:r>
      <w:r>
        <w:rPr>
          <w:rFonts w:hint="eastAsia"/>
        </w:rPr>
        <w:t xml:space="preserve">3.1%——市场定价比分析师更乐观。跑率/静态</w:t>
      </w:r>
      <w:r>
        <w:t xml:space="preserve"> P/E </w:t>
      </w:r>
      <w:r>
        <w:rPr>
          <w:rFonts w:hint="eastAsia"/>
        </w:rPr>
        <w:t xml:space="preserve">11.7×、前瞻</w:t>
      </w:r>
      <w:r>
        <w:t xml:space="preserve"> P/E </w:t>
      </w:r>
      <w:r>
        <w:rPr>
          <w:rFonts w:hint="eastAsia"/>
        </w:rPr>
        <w:t xml:space="preserve">10.3×（Yahoo）。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5.3%）→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36.6%）→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断点：Fuel</w:t>
      </w:r>
      <w:r>
        <w:t xml:space="preserve"> cost, debt refinancing, ship </w:t>
      </w:r>
      <w:r>
        <w:rPr>
          <w:rFonts w:hint="eastAsia"/>
        </w:rPr>
        <w:t xml:space="preserve">deliveries｜燃油成本、债务再融资、新船交付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折现。CCL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36.6%；收入同比</w:t>
      </w:r>
      <w:r>
        <w:t xml:space="preserve"> </w:t>
      </w:r>
      <w:r>
        <w:rPr>
          <w:rFonts w:hint="eastAsia"/>
        </w:rPr>
        <w:t xml:space="preserve">5.3%。新闻多数改变的是现金流预期，而非折现率。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竞争者：Royal</w:t>
      </w:r>
      <w:r>
        <w:t xml:space="preserve"> Caribbean, Norwegian, land-based </w:t>
      </w:r>
      <w:r>
        <w:rPr>
          <w:rFonts w:hint="eastAsia"/>
        </w:rPr>
        <w:t xml:space="preserve">vacations｜皇家加勒比、挪威邮轮、陆地度假。客户：Leisure</w:t>
      </w:r>
      <w:r>
        <w:t xml:space="preserve"> </w:t>
      </w:r>
      <w:r>
        <w:rPr>
          <w:rFonts w:hint="eastAsia"/>
        </w:rPr>
        <w:t xml:space="preserve">travelers｜休闲旅客。若</w:t>
      </w:r>
      <w:r>
        <w:t xml:space="preserve"> CCL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看多会错，如果：Recession;</w:t>
      </w:r>
      <w:r>
        <w:t xml:space="preserve"> oil spike; geopolitical </w:t>
      </w:r>
      <w:r>
        <w:rPr>
          <w:rFonts w:hint="eastAsia"/>
        </w:rPr>
        <w:t xml:space="preserve">disruptions｜衰退；油价飙升；地缘干扰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22.9%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3.1%；近几季</w:t>
      </w:r>
      <w:r>
        <w:t xml:space="preserve"> EPS </w:t>
      </w:r>
      <w:r>
        <w:rPr>
          <w:rFonts w:hint="eastAsia"/>
        </w:rPr>
        <w:t xml:space="preserve">超预期：2025-11</w:t>
      </w:r>
      <w:r>
        <w:t xml:space="preserve"> +39% / 2026-02 +9% / 2026-05 +21% / 2026-08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买方押：Yields</w:t>
      </w:r>
      <w:r>
        <w:t xml:space="preserve"> keep rising; investment-grade rating; </w:t>
      </w:r>
      <w:r>
        <w:rPr>
          <w:rFonts w:hint="eastAsia"/>
        </w:rPr>
        <w:t xml:space="preserve">buybacks/dividend｜收益率续升；投资级评级；回购分红。卖方押：Recession;</w:t>
      </w:r>
      <w:r>
        <w:t xml:space="preserve"> oil spike; geopolitical </w:t>
      </w:r>
      <w:r>
        <w:rPr>
          <w:rFonts w:hint="eastAsia"/>
        </w:rPr>
        <w:t xml:space="preserve">disruptions｜衰退；油价飙升；地缘干扰。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年以来最大的三次回撤：2008-02→2008-11</w:t>
      </w:r>
      <w:r>
        <w:t xml:space="preserve"> </w:t>
      </w:r>
      <w:r>
        <w:rPr>
          <w:rFonts w:hint="eastAsia"/>
        </w:rPr>
        <w:t xml:space="preserve">-65%；2011-01→2011-08</w:t>
      </w:r>
      <w:r>
        <w:t xml:space="preserve"> </w:t>
      </w:r>
      <w:r>
        <w:rPr>
          <w:rFonts w:hint="eastAsia"/>
        </w:rPr>
        <w:t xml:space="preserve">-38%；2010-04→2010-06</w:t>
      </w:r>
      <w:r>
        <w:t xml:space="preserve"> </w:t>
      </w:r>
      <w:r>
        <w:rPr>
          <w:rFonts w:hint="eastAsia"/>
        </w:rPr>
        <w:t xml:space="preserve">-31%；中位数</w:t>
      </w:r>
      <w:r>
        <w:t xml:space="preserve"> </w:t>
      </w:r>
      <w:r>
        <w:rPr>
          <w:rFonts w:hint="eastAsia"/>
        </w:rPr>
        <w:t xml:space="preserve">-38%。当前距高点</w:t>
      </w:r>
      <w:r>
        <w:t xml:space="preserve"> </w:t>
      </w:r>
      <w:r>
        <w:rPr>
          <w:rFonts w:hint="eastAsia"/>
        </w:rPr>
        <w:t xml:space="preserve">-59.4%。毛利率区间：3.4%–46.2%（本快照内）。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嘉年华是高杠杆的消费周期股，去杠杆与净收益率(net</w:t>
      </w:r>
      <w:r>
        <w:t xml:space="preserve"> </w:t>
      </w:r>
      <w:r>
        <w:rPr>
          <w:rFonts w:hint="eastAsia"/>
        </w:rPr>
        <w:t xml:space="preserve">yield)提升推动重估；对油价、利率与消费信心敏感，为观察名单中的宏观/消费对照组。（HYPOTHESIS）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$26.48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 </w:t>
      </w:r>
      <w:r>
        <w:rPr>
          <w:rFonts w:hint="eastAsia"/>
        </w:rPr>
        <w:t xml:space="preserve">652.8%，安全边际取决于假设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2008-02→2008-11 </w:t>
      </w:r>
      <w:r>
        <w:rPr>
          <w:rFonts w:hint="eastAsia"/>
        </w:rPr>
        <w:t xml:space="preserve">-65%；2011-01→2011-08</w:t>
      </w:r>
      <w:r>
        <w:t xml:space="preserve"> </w:t>
      </w:r>
      <w:r>
        <w:rPr>
          <w:rFonts w:hint="eastAsia"/>
        </w:rPr>
        <w:t xml:space="preserve">-38%；2010-04→2010-06</w:t>
      </w:r>
      <w:r>
        <w:t xml:space="preserve"> -31%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$26.48 vs Base </w:t>
            </w:r>
            <w:r>
              <w:rPr>
                <w:rFonts w:hint="eastAsia"/>
              </w:rPr>
              <w:t xml:space="preserve">价值</w:t>
            </w:r>
            <w:r>
              <w:t xml:space="preserve"> $4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22.9% vs </w:t>
            </w:r>
            <w:r>
              <w:rPr>
                <w:rFonts w:hint="eastAsia"/>
              </w:rPr>
              <w:t xml:space="preserve">一致预期</w:t>
            </w:r>
            <w:r>
              <w:t xml:space="preserve"> 3.1%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38.6% → 36.6%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+21% → +6%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+5.3%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-59.4%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-38%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1 : </w:t>
      </w:r>
      <w:r>
        <w:rPr>
          <w:rFonts w:hint="eastAsia"/>
        </w:rPr>
        <w:t xml:space="preserve">12）。这是对现有数据的机械称重，不是买卖结论；最该做的是盯住证伪清单。（我们的判断，可能出错）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22.9%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5.3%）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36.6%）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Net yields, occupancy, net debt/EBITDA, fuel </w:t>
            </w:r>
            <w:r>
              <w:rPr>
                <w:rFonts w:hint="eastAsia"/>
              </w:rPr>
              <w:t xml:space="preserve">cost/ton｜净收益率、上座率、净负债/EBITDA、燃油成本</w:t>
            </w:r>
          </w:p>
        </w:tc>
        <w:tc>
          <w:tcPr/>
          <w:p>
            <w:pPr>
              <w:pStyle w:val="Compact"/>
            </w:pPr>
            <w:r>
              <w:t xml:space="preserve">Net yield guide cut; booking curve </w:t>
            </w:r>
            <w:r>
              <w:rPr>
                <w:rFonts w:hint="eastAsia"/>
              </w:rPr>
              <w:t xml:space="preserve">weakens｜净收益率指引下修；预订曲线走弱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22.9%、共识</w:t>
      </w:r>
      <w:r>
        <w:t xml:space="preserve"> </w:t>
      </w:r>
      <w:r>
        <w:rPr>
          <w:rFonts w:hint="eastAsia"/>
        </w:rPr>
        <w:t xml:space="preserve">3.1%。如果公司下季’超预期’但只超共识不超隐含，股价可能怎样？为什么？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36.6%，区间</w:t>
      </w:r>
      <w:r>
        <w:t xml:space="preserve"> </w:t>
      </w:r>
      <w:r>
        <w:rPr>
          <w:rFonts w:hint="eastAsia"/>
        </w:rPr>
        <w:t xml:space="preserve">3.4%–46.2%。用’第一性原理’说明利润率下降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-38%，当前</w:t>
      </w:r>
      <w:r>
        <w:t xml:space="preserve"> </w:t>
      </w:r>
      <w:r>
        <w:rPr>
          <w:rFonts w:hint="eastAsia"/>
        </w:rPr>
        <w:t xml:space="preserve">-59.4%。为什么’已经跌了很多’不能单独作为买入理由？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18-财报后填写"/>
    <w:p>
      <w:pPr>
        <w:pStyle w:val="Heading2"/>
      </w:pPr>
      <w:r>
        <w:rPr>
          <w:rFonts w:hint="eastAsia"/>
        </w:rPr>
        <w:t xml:space="preserve">八、事后推理复盘（2026-12-18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CCL thinking-first edition. Price $26.48; -59.4% from 2018-01-29 high. Reverse DCF: price implies ~22.9% Y1 growth vs consensus 3.1%. Scenario values $-3/$4/$9; WACC 13.2%. Base rates: largest drawdowns since 2008: 2008-02→2008-11 </w:t>
      </w:r>
      <w:r>
        <w:rPr>
          <w:rFonts w:hint="eastAsia"/>
        </w:rPr>
        <w:t xml:space="preserve">-65%；2011-01→2011-08</w:t>
      </w:r>
      <w:r>
        <w:t xml:space="preserve"> </w:t>
      </w:r>
      <w:r>
        <w:rPr>
          <w:rFonts w:hint="eastAsia"/>
        </w:rPr>
        <w:t xml:space="preserve">-38%；2010-04→2010-06</w:t>
      </w:r>
      <w:r>
        <w:t xml:space="preserve"> -31%. Evidence weighting 1:12 (bull:bear). Falsifiers: Net yield guide cut; booking curve </w:t>
      </w:r>
      <w:r>
        <w:rPr>
          <w:rFonts w:hint="eastAsia"/>
        </w:rPr>
        <w:t xml:space="preserve">weakens｜净收益率指引下修；预订曲线走弱.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2026-10-13T13:09:12Z</dcterms:created>
  <dcterms:modified xsi:type="dcterms:W3CDTF">2026-10-13T13:09:12Z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