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0c07c1457eae10a9c023c3a65080b6463ab0a9"/>
    <w:p>
      <w:pPr>
        <w:pStyle w:val="Heading1"/>
      </w:pPr>
      <w:r>
        <w:t xml:space="preserve">CIEN Ciena Corporation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$400.40｜市值</w:t>
      </w:r>
      <w:r>
        <w:t xml:space="preserve"> 56.8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AI训练集群跨园区互连(scale-across)推动Ciena</w:t>
      </w:r>
      <w:r>
        <w:t xml:space="preserve"> </w:t>
      </w:r>
      <w:r>
        <w:rPr>
          <w:rFonts w:hint="eastAsia"/>
        </w:rPr>
        <w:t xml:space="preserve">800G/1.6T相干光需求；从运营商周期股转向云厂成长股。</w:t>
      </w:r>
    </w:p>
    <w:p>
      <w:pPr>
        <w:pStyle w:val="Compact"/>
        <w:numPr>
          <w:ilvl w:val="0"/>
          <w:numId w:val="1001"/>
        </w:numPr>
      </w:pPr>
      <w:r>
        <w:rPr>
          <w:rFonts w:hint="eastAsia"/>
          <w:b/>
          <w:bCs/>
        </w:rPr>
        <w:t xml:space="preserve">多头驱动</w:t>
      </w:r>
      <w:r>
        <w:t xml:space="preserve">: Hyperscaler &gt;50% of revenue; pluggables and in-DC </w:t>
      </w:r>
      <w:r>
        <w:rPr>
          <w:rFonts w:hint="eastAsia"/>
        </w:rPr>
        <w:t xml:space="preserve">opportunities｜云厂收入占比超半；可插拔与机房内机会</w:t>
      </w:r>
    </w:p>
    <w:p>
      <w:pPr>
        <w:pStyle w:val="Compact"/>
        <w:numPr>
          <w:ilvl w:val="0"/>
          <w:numId w:val="1001"/>
        </w:numPr>
      </w:pPr>
      <w:r>
        <w:rPr>
          <w:rFonts w:hint="eastAsia"/>
          <w:b/>
          <w:bCs/>
        </w:rPr>
        <w:t xml:space="preserve">空头驱动</w:t>
      </w:r>
      <w:r>
        <w:t xml:space="preserve">: Carrier spending weak; competition from </w:t>
      </w:r>
      <w:r>
        <w:rPr>
          <w:rFonts w:hint="eastAsia"/>
        </w:rPr>
        <w:t xml:space="preserve">Nokia/Infinera｜运营商开支疲弱；诺基亚竞争</w:t>
      </w:r>
    </w:p>
    <w:p>
      <w:pPr>
        <w:pStyle w:val="Compact"/>
        <w:numPr>
          <w:ilvl w:val="0"/>
          <w:numId w:val="1001"/>
        </w:numPr>
      </w:pPr>
      <w:r>
        <w:rPr>
          <w:rFonts w:hint="eastAsia"/>
          <w:b/>
          <w:bCs/>
        </w:rPr>
        <w:t xml:space="preserve">证伪条件</w:t>
      </w:r>
      <w:r>
        <w:rPr>
          <w:b/>
          <w:bCs/>
        </w:rPr>
        <w:t xml:space="preserve"> Falsifiers</w:t>
      </w:r>
      <w:r>
        <w:t xml:space="preserve">: Order book/backlog falls; GM not </w:t>
      </w:r>
      <w:r>
        <w:rPr>
          <w:rFonts w:hint="eastAsia"/>
        </w:rPr>
        <w:t xml:space="preserve">improving｜订单/积压下降；毛利不改善</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networking systems </w:t>
      </w:r>
      <w:r>
        <w:rPr>
          <w:rFonts w:hint="eastAsia"/>
        </w:rPr>
        <w:t xml:space="preserve">光网络系统</w:t>
      </w:r>
    </w:p>
    <w:p>
      <w:pPr>
        <w:pStyle w:val="Compact"/>
        <w:numPr>
          <w:ilvl w:val="0"/>
          <w:numId w:val="1002"/>
        </w:numPr>
      </w:pPr>
      <w:r>
        <w:rPr>
          <w:rFonts w:hint="eastAsia"/>
        </w:rPr>
        <w:t xml:space="preserve">业务分部</w:t>
      </w:r>
      <w:r>
        <w:t xml:space="preserve"> Segments: Networking platforms </w:t>
      </w:r>
      <w:r>
        <w:rPr>
          <w:rFonts w:hint="eastAsia"/>
        </w:rPr>
        <w:t xml:space="preserve">网络平台；Platform</w:t>
      </w:r>
      <w:r>
        <w:t xml:space="preserve"> software &amp; services </w:t>
      </w:r>
      <w:r>
        <w:rPr>
          <w:rFonts w:hint="eastAsia"/>
        </w:rPr>
        <w:t xml:space="preserve">软件服务；Blue</w:t>
      </w:r>
      <w:r>
        <w:t xml:space="preserve"> Planet</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02"/>
        </w:numPr>
      </w:pPr>
      <w:r>
        <w:rPr>
          <w:rFonts w:hint="eastAsia"/>
        </w:rPr>
        <w:t xml:space="preserve">主要客户:</w:t>
      </w:r>
      <w:r>
        <w:t xml:space="preserve"> Telecom carriers, hyperscalers (DCI), cable </w:t>
      </w:r>
      <w:r>
        <w:rPr>
          <w:rFonts w:hint="eastAsia"/>
        </w:rPr>
        <w:t xml:space="preserve">operators｜运营商、云厂(数据中心互连)、有线电视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03"/>
        </w:numPr>
      </w:pPr>
      <w:r>
        <w:rPr>
          <w:rFonts w:hint="eastAsia"/>
        </w:rPr>
        <w:t xml:space="preserve">竞争者</w:t>
      </w:r>
      <w:r>
        <w:t xml:space="preserve"> </w:t>
      </w:r>
      <w:r>
        <w:rPr>
          <w:rFonts w:hint="eastAsia"/>
        </w:rPr>
        <w:t xml:space="preserve">(含业外):</w:t>
      </w:r>
      <w:r>
        <w:t xml:space="preserve"> Nokia (Infinera), Cisco (Acacia), Huawei, Coherent </w:t>
      </w:r>
      <w:r>
        <w:rPr>
          <w:rFonts w:hint="eastAsia"/>
        </w:rPr>
        <w:t xml:space="preserve">pluggables｜诺基亚、思科、华为、Coherent</w:t>
      </w:r>
    </w:p>
    <w:p>
      <w:pPr>
        <w:pStyle w:val="Compact"/>
        <w:numPr>
          <w:ilvl w:val="0"/>
          <w:numId w:val="1003"/>
        </w:numPr>
      </w:pPr>
      <w:r>
        <w:rPr>
          <w:rFonts w:hint="eastAsia"/>
        </w:rPr>
        <w:t xml:space="preserve">瓶颈/监管:</w:t>
      </w:r>
      <w:r>
        <w:t xml:space="preserve"> Component supply, hyperscaler DCI </w:t>
      </w:r>
      <w:r>
        <w:rPr>
          <w:rFonts w:hint="eastAsia"/>
        </w:rPr>
        <w:t xml:space="preserve">cycles｜器件供应、云厂DCI周期</w:t>
      </w:r>
    </w:p>
    <w:p>
      <w:pPr>
        <w:pStyle w:val="Compact"/>
        <w:numPr>
          <w:ilvl w:val="0"/>
          <w:numId w:val="1003"/>
        </w:numPr>
      </w:pPr>
      <w:r>
        <w:rPr>
          <w:rFonts w:hint="eastAsia"/>
        </w:rPr>
        <w:t xml:space="preserve">关键KPI:</w:t>
      </w:r>
      <w:r>
        <w:t xml:space="preserve"> Revenue, cloud mix, GM%, </w:t>
      </w:r>
      <w:r>
        <w:rPr>
          <w:rFonts w:hint="eastAsia"/>
        </w:rPr>
        <w:t xml:space="preserve">backlog｜收入、云占比、毛利率、积压</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2.6 bn </w:t>
      </w:r>
      <w:r>
        <w:rPr>
          <w:rFonts w:hint="eastAsia"/>
        </w:rPr>
        <w:t xml:space="preserve">USD；总负债</w:t>
      </w:r>
      <w:r>
        <w:t xml:space="preserve"> 3.3 bn </w:t>
      </w:r>
      <w:r>
        <w:rPr>
          <w:rFonts w:hint="eastAsia"/>
        </w:rPr>
        <w:t xml:space="preserve">USD；净现金</w:t>
      </w:r>
      <w:r>
        <w:t xml:space="preserve"> -0.7 bn USD。TTM FCF 0.8 bn </w:t>
      </w:r>
      <w:r>
        <w:rPr>
          <w:rFonts w:hint="eastAsia"/>
        </w:rPr>
        <w:t xml:space="preserve">USD（FCF率</w:t>
      </w:r>
      <w:r>
        <w:t xml:space="preserve"> </w:t>
      </w:r>
      <w:r>
        <w:rPr>
          <w:rFonts w:hint="eastAsia"/>
        </w:rPr>
        <w:t xml:space="preserve">13.5%）。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2026-09-03</w:t>
      </w:r>
      <w:r>
        <w:rPr>
          <w:rFonts w:hint="eastAsia"/>
        </w:rPr>
        <w:t xml:space="preserve">；本季EPS一致预期</w:t>
      </w:r>
      <w:r>
        <w:t xml:space="preserve"> </w:t>
      </w:r>
      <w:r>
        <w:rPr>
          <w:rFonts w:hint="eastAsia"/>
        </w:rPr>
        <w:t xml:space="preserve">1.61699（5位分析师）；收入一致预期</w:t>
      </w:r>
      <w:r>
        <w:t xml:space="preserve"> 1.8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$92.82</w:t>
            </w:r>
          </w:p>
        </w:tc>
        <w:tc>
          <w:tcPr/>
          <w:p>
            <w:pPr>
              <w:pStyle w:val="Compact"/>
            </w:pPr>
            <w:r>
              <w:t xml:space="preserve">-76.8%</w:t>
            </w:r>
          </w:p>
        </w:tc>
      </w:tr>
      <w:tr>
        <w:tc>
          <w:tcPr/>
          <w:p>
            <w:pPr>
              <w:pStyle w:val="Compact"/>
            </w:pPr>
            <w:r>
              <w:t xml:space="preserve">2Q</w:t>
            </w:r>
          </w:p>
        </w:tc>
        <w:tc>
          <w:tcPr/>
          <w:p>
            <w:pPr>
              <w:pStyle w:val="Compact"/>
            </w:pPr>
            <w:r>
              <w:t xml:space="preserve">Base</w:t>
            </w:r>
          </w:p>
        </w:tc>
        <w:tc>
          <w:tcPr/>
          <w:p>
            <w:pPr>
              <w:pStyle w:val="Compact"/>
            </w:pPr>
            <w:r>
              <w:t xml:space="preserve">$205.42</w:t>
            </w:r>
          </w:p>
        </w:tc>
        <w:tc>
          <w:tcPr/>
          <w:p>
            <w:pPr>
              <w:pStyle w:val="Compact"/>
            </w:pPr>
            <w:r>
              <w:t xml:space="preserve">-48.7%</w:t>
            </w:r>
          </w:p>
        </w:tc>
      </w:tr>
      <w:tr>
        <w:tc>
          <w:tcPr/>
          <w:p>
            <w:pPr>
              <w:pStyle w:val="Compact"/>
            </w:pPr>
            <w:r>
              <w:t xml:space="preserve">2Q</w:t>
            </w:r>
          </w:p>
        </w:tc>
        <w:tc>
          <w:tcPr/>
          <w:p>
            <w:pPr>
              <w:pStyle w:val="Compact"/>
            </w:pPr>
            <w:r>
              <w:t xml:space="preserve">Bull</w:t>
            </w:r>
          </w:p>
        </w:tc>
        <w:tc>
          <w:tcPr/>
          <w:p>
            <w:pPr>
              <w:pStyle w:val="Compact"/>
            </w:pPr>
            <w:r>
              <w:t xml:space="preserve">$337.46</w:t>
            </w:r>
          </w:p>
        </w:tc>
        <w:tc>
          <w:tcPr/>
          <w:p>
            <w:pPr>
              <w:pStyle w:val="Compact"/>
            </w:pPr>
            <w:r>
              <w:t xml:space="preserve">-15.7%</w:t>
            </w:r>
          </w:p>
        </w:tc>
      </w:tr>
      <w:tr>
        <w:tc>
          <w:tcPr/>
          <w:p>
            <w:pPr>
              <w:pStyle w:val="Compact"/>
            </w:pPr>
            <w:r>
              <w:t xml:space="preserve">4Q</w:t>
            </w:r>
          </w:p>
        </w:tc>
        <w:tc>
          <w:tcPr/>
          <w:p>
            <w:pPr>
              <w:pStyle w:val="Compact"/>
            </w:pPr>
            <w:r>
              <w:t xml:space="preserve">Bear</w:t>
            </w:r>
          </w:p>
        </w:tc>
        <w:tc>
          <w:tcPr/>
          <w:p>
            <w:pPr>
              <w:pStyle w:val="Compact"/>
            </w:pPr>
            <w:r>
              <w:t xml:space="preserve">$93.08</w:t>
            </w:r>
          </w:p>
        </w:tc>
        <w:tc>
          <w:tcPr/>
          <w:p>
            <w:pPr>
              <w:pStyle w:val="Compact"/>
            </w:pPr>
            <w:r>
              <w:t xml:space="preserve">-76.8%</w:t>
            </w:r>
          </w:p>
        </w:tc>
      </w:tr>
      <w:tr>
        <w:tc>
          <w:tcPr/>
          <w:p>
            <w:pPr>
              <w:pStyle w:val="Compact"/>
            </w:pPr>
            <w:r>
              <w:t xml:space="preserve">4Q</w:t>
            </w:r>
          </w:p>
        </w:tc>
        <w:tc>
          <w:tcPr/>
          <w:p>
            <w:pPr>
              <w:pStyle w:val="Compact"/>
            </w:pPr>
            <w:r>
              <w:t xml:space="preserve">Base</w:t>
            </w:r>
          </w:p>
        </w:tc>
        <w:tc>
          <w:tcPr/>
          <w:p>
            <w:pPr>
              <w:pStyle w:val="Compact"/>
            </w:pPr>
            <w:r>
              <w:t xml:space="preserve">$225.27</w:t>
            </w:r>
          </w:p>
        </w:tc>
        <w:tc>
          <w:tcPr/>
          <w:p>
            <w:pPr>
              <w:pStyle w:val="Compact"/>
            </w:pPr>
            <w:r>
              <w:t xml:space="preserve">-43.7%</w:t>
            </w:r>
          </w:p>
        </w:tc>
      </w:tr>
      <w:tr>
        <w:tc>
          <w:tcPr/>
          <w:p>
            <w:pPr>
              <w:pStyle w:val="Compact"/>
            </w:pPr>
            <w:r>
              <w:t xml:space="preserve">4Q</w:t>
            </w:r>
          </w:p>
        </w:tc>
        <w:tc>
          <w:tcPr/>
          <w:p>
            <w:pPr>
              <w:pStyle w:val="Compact"/>
            </w:pPr>
            <w:r>
              <w:t xml:space="preserve">Bull</w:t>
            </w:r>
          </w:p>
        </w:tc>
        <w:tc>
          <w:tcPr/>
          <w:p>
            <w:pPr>
              <w:pStyle w:val="Compact"/>
            </w:pPr>
            <w:r>
              <w:t xml:space="preserve">$389.19</w:t>
            </w:r>
          </w:p>
        </w:tc>
        <w:tc>
          <w:tcPr/>
          <w:p>
            <w:pPr>
              <w:pStyle w:val="Compact"/>
            </w:pPr>
            <w:r>
              <w:t xml:space="preserve">-2.8%</w:t>
            </w:r>
          </w:p>
        </w:tc>
      </w:tr>
      <w:tr>
        <w:tc>
          <w:tcPr/>
          <w:p>
            <w:pPr>
              <w:pStyle w:val="Compact"/>
            </w:pPr>
            <w:r>
              <w:t xml:space="preserve">6Q</w:t>
            </w:r>
          </w:p>
        </w:tc>
        <w:tc>
          <w:tcPr/>
          <w:p>
            <w:pPr>
              <w:pStyle w:val="Compact"/>
            </w:pPr>
            <w:r>
              <w:t xml:space="preserve">Bear</w:t>
            </w:r>
          </w:p>
        </w:tc>
        <w:tc>
          <w:tcPr/>
          <w:p>
            <w:pPr>
              <w:pStyle w:val="Compact"/>
            </w:pPr>
            <w:r>
              <w:t xml:space="preserve">$93.31</w:t>
            </w:r>
          </w:p>
        </w:tc>
        <w:tc>
          <w:tcPr/>
          <w:p>
            <w:pPr>
              <w:pStyle w:val="Compact"/>
            </w:pPr>
            <w:r>
              <w:t xml:space="preserve">-76.7%</w:t>
            </w:r>
          </w:p>
        </w:tc>
      </w:tr>
      <w:tr>
        <w:tc>
          <w:tcPr/>
          <w:p>
            <w:pPr>
              <w:pStyle w:val="Compact"/>
            </w:pPr>
            <w:r>
              <w:t xml:space="preserve">6Q</w:t>
            </w:r>
          </w:p>
        </w:tc>
        <w:tc>
          <w:tcPr/>
          <w:p>
            <w:pPr>
              <w:pStyle w:val="Compact"/>
            </w:pPr>
            <w:r>
              <w:t xml:space="preserve">Base</w:t>
            </w:r>
          </w:p>
        </w:tc>
        <w:tc>
          <w:tcPr/>
          <w:p>
            <w:pPr>
              <w:pStyle w:val="Compact"/>
            </w:pPr>
            <w:r>
              <w:t xml:space="preserve">$246.91</w:t>
            </w:r>
          </w:p>
        </w:tc>
        <w:tc>
          <w:tcPr/>
          <w:p>
            <w:pPr>
              <w:pStyle w:val="Compact"/>
            </w:pPr>
            <w:r>
              <w:t xml:space="preserve">-38.3%</w:t>
            </w:r>
          </w:p>
        </w:tc>
      </w:tr>
      <w:tr>
        <w:tc>
          <w:tcPr/>
          <w:p>
            <w:pPr>
              <w:pStyle w:val="Compact"/>
            </w:pPr>
            <w:r>
              <w:t xml:space="preserve">6Q</w:t>
            </w:r>
          </w:p>
        </w:tc>
        <w:tc>
          <w:tcPr/>
          <w:p>
            <w:pPr>
              <w:pStyle w:val="Compact"/>
            </w:pPr>
            <w:r>
              <w:t xml:space="preserve">Bull</w:t>
            </w:r>
          </w:p>
        </w:tc>
        <w:tc>
          <w:tcPr/>
          <w:p>
            <w:pPr>
              <w:pStyle w:val="Compact"/>
            </w:pPr>
            <w:r>
              <w:t xml:space="preserve">$448.39</w:t>
            </w:r>
          </w:p>
        </w:tc>
        <w:tc>
          <w:tcPr/>
          <w:p>
            <w:pPr>
              <w:pStyle w:val="Compact"/>
            </w:pPr>
            <w:r>
              <w:t xml:space="preserve">12.0%</w:t>
            </w:r>
          </w:p>
        </w:tc>
      </w:tr>
      <w:tr>
        <w:tc>
          <w:tcPr/>
          <w:p>
            <w:pPr>
              <w:pStyle w:val="Compact"/>
            </w:pPr>
            <w:r>
              <w:t xml:space="preserve">8Q</w:t>
            </w:r>
          </w:p>
        </w:tc>
        <w:tc>
          <w:tcPr/>
          <w:p>
            <w:pPr>
              <w:pStyle w:val="Compact"/>
            </w:pPr>
            <w:r>
              <w:t xml:space="preserve">Bear</w:t>
            </w:r>
          </w:p>
        </w:tc>
        <w:tc>
          <w:tcPr/>
          <w:p>
            <w:pPr>
              <w:pStyle w:val="Compact"/>
            </w:pPr>
            <w:r>
              <w:t xml:space="preserve">$93.52</w:t>
            </w:r>
          </w:p>
        </w:tc>
        <w:tc>
          <w:tcPr/>
          <w:p>
            <w:pPr>
              <w:pStyle w:val="Compact"/>
            </w:pPr>
            <w:r>
              <w:t xml:space="preserve">-76.6%</w:t>
            </w:r>
          </w:p>
        </w:tc>
      </w:tr>
      <w:tr>
        <w:tc>
          <w:tcPr/>
          <w:p>
            <w:pPr>
              <w:pStyle w:val="Compact"/>
            </w:pPr>
            <w:r>
              <w:t xml:space="preserve">8Q</w:t>
            </w:r>
          </w:p>
        </w:tc>
        <w:tc>
          <w:tcPr/>
          <w:p>
            <w:pPr>
              <w:pStyle w:val="Compact"/>
            </w:pPr>
            <w:r>
              <w:t xml:space="preserve">Base</w:t>
            </w:r>
          </w:p>
        </w:tc>
        <w:tc>
          <w:tcPr/>
          <w:p>
            <w:pPr>
              <w:pStyle w:val="Compact"/>
            </w:pPr>
            <w:r>
              <w:t xml:space="preserve">$270.52</w:t>
            </w:r>
          </w:p>
        </w:tc>
        <w:tc>
          <w:tcPr/>
          <w:p>
            <w:pPr>
              <w:pStyle w:val="Compact"/>
            </w:pPr>
            <w:r>
              <w:t xml:space="preserve">-32.4%</w:t>
            </w:r>
          </w:p>
        </w:tc>
      </w:tr>
      <w:tr>
        <w:tc>
          <w:tcPr/>
          <w:p>
            <w:pPr>
              <w:pStyle w:val="Compact"/>
            </w:pPr>
            <w:r>
              <w:t xml:space="preserve">8Q</w:t>
            </w:r>
          </w:p>
        </w:tc>
        <w:tc>
          <w:tcPr/>
          <w:p>
            <w:pPr>
              <w:pStyle w:val="Compact"/>
            </w:pPr>
            <w:r>
              <w:t xml:space="preserve">Bull</w:t>
            </w:r>
          </w:p>
        </w:tc>
        <w:tc>
          <w:tcPr/>
          <w:p>
            <w:pPr>
              <w:pStyle w:val="Compact"/>
            </w:pPr>
            <w:r>
              <w:t xml:space="preserve">$516.12</w:t>
            </w:r>
          </w:p>
        </w:tc>
        <w:tc>
          <w:tcPr/>
          <w:p>
            <w:pPr>
              <w:pStyle w:val="Compact"/>
            </w:pPr>
            <w:r>
              <w:t xml:space="preserve">28.9%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45.7x</w:t>
            </w:r>
          </w:p>
        </w:tc>
      </w:tr>
      <w:tr>
        <w:tc>
          <w:tcPr/>
          <w:p>
            <w:pPr>
              <w:pStyle w:val="Compact"/>
            </w:pPr>
            <w:r>
              <w:t xml:space="preserve">4Q</w:t>
            </w:r>
          </w:p>
        </w:tc>
        <w:tc>
          <w:tcPr/>
          <w:p>
            <w:pPr>
              <w:pStyle w:val="Compact"/>
            </w:pPr>
            <w:r>
              <w:t xml:space="preserve">39.5x</w:t>
            </w:r>
          </w:p>
        </w:tc>
      </w:tr>
      <w:tr>
        <w:tc>
          <w:tcPr/>
          <w:p>
            <w:pPr>
              <w:pStyle w:val="Compact"/>
            </w:pPr>
            <w:r>
              <w:t xml:space="preserve">6Q</w:t>
            </w:r>
          </w:p>
        </w:tc>
        <w:tc>
          <w:tcPr/>
          <w:p>
            <w:pPr>
              <w:pStyle w:val="Compact"/>
            </w:pPr>
            <w:r>
              <w:t xml:space="preserve">34.2x</w:t>
            </w:r>
          </w:p>
        </w:tc>
      </w:tr>
      <w:tr>
        <w:tc>
          <w:tcPr/>
          <w:p>
            <w:pPr>
              <w:pStyle w:val="Compact"/>
            </w:pPr>
            <w:r>
              <w:t xml:space="preserve">8Q</w:t>
            </w:r>
          </w:p>
        </w:tc>
        <w:tc>
          <w:tcPr/>
          <w:p>
            <w:pPr>
              <w:pStyle w:val="Compact"/>
            </w:pPr>
            <w:r>
              <w:t xml:space="preserve">29.6x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15.4%</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$80.37</w:t>
            </w:r>
          </w:p>
        </w:tc>
        <w:tc>
          <w:tcPr/>
          <w:p>
            <w:pPr>
              <w:pStyle w:val="Compact"/>
            </w:pPr>
            <w:r>
              <w:t xml:space="preserve">-79.9%</w:t>
            </w:r>
          </w:p>
        </w:tc>
      </w:tr>
      <w:tr>
        <w:tc>
          <w:tcPr/>
          <w:p>
            <w:pPr>
              <w:pStyle w:val="Compact"/>
            </w:pPr>
            <w:r>
              <w:t xml:space="preserve">Base</w:t>
            </w:r>
          </w:p>
        </w:tc>
        <w:tc>
          <w:tcPr/>
          <w:p>
            <w:pPr>
              <w:pStyle w:val="Compact"/>
            </w:pPr>
            <w:r>
              <w:t xml:space="preserve">30.8%</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$210.37</w:t>
            </w:r>
          </w:p>
        </w:tc>
        <w:tc>
          <w:tcPr/>
          <w:p>
            <w:pPr>
              <w:pStyle w:val="Compact"/>
            </w:pPr>
            <w:r>
              <w:t xml:space="preserve">-47.5%</w:t>
            </w:r>
          </w:p>
        </w:tc>
      </w:tr>
      <w:tr>
        <w:tc>
          <w:tcPr/>
          <w:p>
            <w:pPr>
              <w:pStyle w:val="Compact"/>
            </w:pPr>
            <w:r>
              <w:t xml:space="preserve">Bull</w:t>
            </w:r>
          </w:p>
        </w:tc>
        <w:tc>
          <w:tcPr/>
          <w:p>
            <w:pPr>
              <w:pStyle w:val="Compact"/>
            </w:pPr>
            <w:r>
              <w:t xml:space="preserve">40.0%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$383.18</w:t>
            </w:r>
          </w:p>
        </w:tc>
        <w:tc>
          <w:tcPr/>
          <w:p>
            <w:pPr>
              <w:pStyle w:val="Compact"/>
            </w:pPr>
            <w:r>
              <w:t xml:space="preserve">-4.3%</w:t>
            </w:r>
          </w:p>
        </w:tc>
      </w:tr>
    </w:tbl>
    <w:p>
      <w:pPr>
        <w:pStyle w:val="BodyText"/>
      </w:pPr>
      <w:r>
        <w:rPr>
          <w:rFonts w:hint="eastAsia"/>
        </w:rPr>
        <w:t xml:space="preserve">概率加权价值</w:t>
      </w:r>
      <w:r>
        <w:t xml:space="preserve"> </w:t>
      </w:r>
      <w:r>
        <w:rPr>
          <w:b/>
          <w:bCs/>
        </w:rPr>
        <w:t xml:space="preserve">$221.07</w:t>
      </w:r>
      <w:r>
        <w:rPr>
          <w:rFonts w:hint="eastAsia"/>
        </w:rPr>
        <w:t xml:space="preserve">（相对现价</w:t>
      </w:r>
      <w:r>
        <w:t xml:space="preserve"> </w:t>
      </w:r>
      <w:r>
        <w:rPr>
          <w:rFonts w:hint="eastAsia"/>
        </w:rPr>
        <w:t xml:space="preserve">-44.8%）。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30.5 bn </w:t>
      </w:r>
      <w:r>
        <w:rPr>
          <w:rFonts w:hint="eastAsia"/>
        </w:rPr>
        <w:t xml:space="preserve">USD；终值占比</w:t>
      </w:r>
      <w:r>
        <w:t xml:space="preserve"> 53.8%。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48.8%</w:t>
      </w:r>
      <w:r>
        <w:rPr>
          <w:rFonts w:hint="eastAsia"/>
        </w:rPr>
        <w:t xml:space="preserve">；一致预期FY+1增速</w:t>
      </w:r>
      <w:r>
        <w:t xml:space="preserve"> 30.8%。</w:t>
      </w:r>
    </w:p>
    <w:p>
      <w:pPr>
        <w:numPr>
          <w:ilvl w:val="0"/>
          <w:numId w:val="1005"/>
        </w:numPr>
      </w:pPr>
      <w:r>
        <w:t xml:space="preserve">WACC (CAPM) = rf 5.2% + β 1.29 × ERP 5.0% = 11.7%。</w:t>
      </w:r>
    </w:p>
    <w:p>
      <w:pPr>
        <w:numPr>
          <w:ilvl w:val="0"/>
          <w:numId w:val="1005"/>
        </w:numPr>
      </w:pPr>
      <w:r>
        <w:t xml:space="preserve">SOTP segments </w:t>
      </w:r>
      <w:r>
        <w:rPr>
          <w:rFonts w:hint="eastAsia"/>
        </w:rPr>
        <w:t xml:space="preserve">分部:</w:t>
      </w:r>
      <w:r>
        <w:t xml:space="preserve"> Networking platforms </w:t>
      </w:r>
      <w:r>
        <w:rPr>
          <w:rFonts w:hint="eastAsia"/>
        </w:rPr>
        <w:t xml:space="preserve">网络平台;</w:t>
      </w:r>
      <w:r>
        <w:t xml:space="preserve"> Platform software &amp; services </w:t>
      </w:r>
      <w:r>
        <w:rPr>
          <w:rFonts w:hint="eastAsia"/>
        </w:rPr>
        <w:t xml:space="preserve">软件服务;</w:t>
      </w:r>
      <w:r>
        <w:t xml:space="preserve"> Blue Planet.</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CIEN | 56.8 bn USD | 9.5x | 33.9x | 37.0% | 44.1% | 1.4% |</w:t>
      </w:r>
      <w:r>
        <w:t xml:space="preserve"> </w:t>
      </w:r>
      <w:r>
        <w:t xml:space="preserve">| COHR | 57.1 bn USD | 8.2x | 20.6x | 33.7% | 37.5% | -1.1% |</w:t>
      </w:r>
      <w:r>
        <w:t xml:space="preserve"> </w:t>
      </w:r>
      <w:r>
        <w:t xml:space="preserve">| LITE | 89.5 bn USD | 29.1x | 27.5x | 109.3% | 44.2% | 0.3% |</w:t>
      </w:r>
      <w:r>
        <w:t xml:space="preserve"> </w:t>
      </w:r>
      <w:r>
        <w:t xml:space="preserve">| NOK | 55.2 bn USD | 2.6x | 20.4x | 8.4% | 45.5% | 2.1% |</w:t>
      </w:r>
      <w:r>
        <w:t xml:space="preserve"> </w:t>
      </w:r>
      <w:r>
        <w:t xml:space="preserve">| CSCO | 453.7 bn USD | 7.4x | 20.5x | 17.6% | 64.5% | 2.5%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Carrier spending weak; competition from </w:t>
      </w:r>
      <w:r>
        <w:rPr>
          <w:rFonts w:hint="eastAsia"/>
        </w:rPr>
        <w:t xml:space="preserve">Nokia/Infinera｜运营商开支疲弱；诺基亚竞争</w:t>
      </w:r>
    </w:p>
    <w:p>
      <w:pPr>
        <w:pStyle w:val="Compact"/>
        <w:numPr>
          <w:ilvl w:val="0"/>
          <w:numId w:val="1006"/>
        </w:numPr>
      </w:pPr>
      <w:r>
        <w:rPr>
          <w:rFonts w:hint="eastAsia"/>
        </w:rPr>
        <w:t xml:space="preserve">证伪指标:</w:t>
      </w:r>
      <w:r>
        <w:t xml:space="preserve"> Order book/backlog falls; GM not </w:t>
      </w:r>
      <w:r>
        <w:rPr>
          <w:rFonts w:hint="eastAsia"/>
        </w:rPr>
        <w:t xml:space="preserve">improving｜订单/积压下降；毛利不改善</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400.4</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5.678e+10</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2.63e+09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3.286e+09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6.021e+09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8.144e+08</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1.289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0.3468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0.3077</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0.3077</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0.1353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CIEN_model_v20261014-0758.xlsx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2026-09-03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IEN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IEN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IEN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IEN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IEN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787bedefa1ad61e7f526014e635a2f087ad776"/>
    <w:p>
      <w:pPr>
        <w:pStyle w:val="Heading1"/>
      </w:pPr>
      <w:r>
        <w:t xml:space="preserve">CIEN Ciena Corporation — Equity Deep Dive (Professional English) v20261014-0758</w:t>
      </w:r>
    </w:p>
    <w:p>
      <w:pPr>
        <w:pStyle w:val="BlockText"/>
      </w:pPr>
      <w:r>
        <w:t xml:space="preserve">Data as of 2026-10-14 07:58 SGT | Price $400.40 | Mkt cap 56.8 bn USD | Reporting currency USD | Not investment advice.</w:t>
      </w:r>
    </w:p>
    <w:bookmarkStart w:id="39" w:name="investment-thesis-hypothesis"/>
    <w:p>
      <w:pPr>
        <w:pStyle w:val="Heading2"/>
      </w:pPr>
      <w:r>
        <w:t xml:space="preserve">1. Investment thesis (HYPOTHESIS)</w:t>
      </w:r>
    </w:p>
    <w:p>
      <w:pPr>
        <w:pStyle w:val="FirstParagraph"/>
      </w:pPr>
      <w:r>
        <w:t xml:space="preserve">AI scale-across interconnect between campuses drives demand for Ciena’s 800G/1.6T coherent optics, shifting it from a carrier-cycle stock toward a cloud-growth stock.</w:t>
      </w:r>
    </w:p>
    <w:p>
      <w:pPr>
        <w:pStyle w:val="Compact"/>
        <w:numPr>
          <w:ilvl w:val="0"/>
          <w:numId w:val="1009"/>
        </w:numPr>
      </w:pPr>
      <w:r>
        <w:rPr>
          <w:b/>
          <w:bCs/>
        </w:rPr>
        <w:t xml:space="preserve">Bull drivers</w:t>
      </w:r>
      <w:r>
        <w:t xml:space="preserve">: Hyperscaler &gt;50% of revenue; pluggables and in-DC </w:t>
      </w:r>
      <w:r>
        <w:rPr>
          <w:rFonts w:hint="eastAsia"/>
        </w:rPr>
        <w:t xml:space="preserve">opportunities｜云厂收入占比超半；可插拔与机房内机会</w:t>
      </w:r>
    </w:p>
    <w:p>
      <w:pPr>
        <w:pStyle w:val="Compact"/>
        <w:numPr>
          <w:ilvl w:val="0"/>
          <w:numId w:val="1009"/>
        </w:numPr>
      </w:pPr>
      <w:r>
        <w:rPr>
          <w:b/>
          <w:bCs/>
        </w:rPr>
        <w:t xml:space="preserve">Bear drivers</w:t>
      </w:r>
      <w:r>
        <w:t xml:space="preserve">: Carrier spending weak; competition from </w:t>
      </w:r>
      <w:r>
        <w:rPr>
          <w:rFonts w:hint="eastAsia"/>
        </w:rPr>
        <w:t xml:space="preserve">Nokia/Infinera｜运营商开支疲弱；诺基亚竞争</w:t>
      </w:r>
    </w:p>
    <w:p>
      <w:pPr>
        <w:pStyle w:val="Compact"/>
        <w:numPr>
          <w:ilvl w:val="0"/>
          <w:numId w:val="1009"/>
        </w:numPr>
      </w:pPr>
      <w:r>
        <w:rPr>
          <w:b/>
          <w:bCs/>
        </w:rPr>
        <w:t xml:space="preserve">Falsifiers</w:t>
      </w:r>
      <w:r>
        <w:t xml:space="preserve">: Order book/backlog falls; GM not </w:t>
      </w:r>
      <w:r>
        <w:rPr>
          <w:rFonts w:hint="eastAsia"/>
        </w:rPr>
        <w:t xml:space="preserve">improving｜订单/积压下降；毛利不改善</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networking systems </w:t>
      </w:r>
      <w:r>
        <w:rPr>
          <w:rFonts w:hint="eastAsia"/>
        </w:rPr>
        <w:t xml:space="preserve">光网络系统</w:t>
      </w:r>
      <w:r>
        <w:t xml:space="preserve"> | Segments: Networking platforms </w:t>
      </w:r>
      <w:r>
        <w:rPr>
          <w:rFonts w:hint="eastAsia"/>
        </w:rPr>
        <w:t xml:space="preserve">网络平台;</w:t>
      </w:r>
      <w:r>
        <w:t xml:space="preserve"> Platform software &amp; services </w:t>
      </w:r>
      <w:r>
        <w:rPr>
          <w:rFonts w:hint="eastAsia"/>
        </w:rPr>
        <w:t xml:space="preserve">软件服务;</w:t>
      </w:r>
      <w:r>
        <w:t xml:space="preserve"> Blue Planet</w:t>
      </w:r>
    </w:p>
    <w:p>
      <w:pPr>
        <w:pStyle w:val="Compact"/>
        <w:numPr>
          <w:ilvl w:val="0"/>
          <w:numId w:val="1010"/>
        </w:numPr>
      </w:pPr>
      <w:r>
        <w:t xml:space="preserve">Business description (DATA):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10"/>
        </w:numPr>
      </w:pPr>
      <w:r>
        <w:t xml:space="preserve">Customers: Telecom carriers, hyperscalers (DCI), cable </w:t>
      </w:r>
      <w:r>
        <w:rPr>
          <w:rFonts w:hint="eastAsia"/>
        </w:rPr>
        <w:t xml:space="preserve">operators｜运营商、云厂(数据中心互连)、有线电视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11"/>
        </w:numPr>
      </w:pPr>
      <w:r>
        <w:t xml:space="preserve">Competitors: Nokia (Infinera), Cisco (Acacia), Huawei, Coherent </w:t>
      </w:r>
      <w:r>
        <w:rPr>
          <w:rFonts w:hint="eastAsia"/>
        </w:rPr>
        <w:t xml:space="preserve">pluggables｜诺基亚、思科、华为、Coherent</w:t>
      </w:r>
    </w:p>
    <w:p>
      <w:pPr>
        <w:pStyle w:val="Compact"/>
        <w:numPr>
          <w:ilvl w:val="0"/>
          <w:numId w:val="1011"/>
        </w:numPr>
      </w:pPr>
      <w:r>
        <w:t xml:space="preserve">Bottlenecks/regulation: Component supply, hyperscaler DCI </w:t>
      </w:r>
      <w:r>
        <w:rPr>
          <w:rFonts w:hint="eastAsia"/>
        </w:rPr>
        <w:t xml:space="preserve">cycles｜器件供应、云厂DCI周期</w:t>
      </w:r>
    </w:p>
    <w:p>
      <w:pPr>
        <w:pStyle w:val="Compact"/>
        <w:numPr>
          <w:ilvl w:val="0"/>
          <w:numId w:val="1011"/>
        </w:numPr>
      </w:pPr>
      <w:r>
        <w:t xml:space="preserve">KPIs: Revenue, cloud mix, GM%, </w:t>
      </w:r>
      <w:r>
        <w:rPr>
          <w:rFonts w:hint="eastAsia"/>
        </w:rPr>
        <w:t xml:space="preserve">backlog｜收入、云占比、毛利率、积压</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2.6 bn USD; debt 3.3 bn USD; TTM FCF 0.8 bn USD (FCF margin 13.5%).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2026-09-03</w:t>
      </w:r>
      <w:r>
        <w:t xml:space="preserve">; current-quarter EPS consensus 1.61699 (5 analysts); revenue consensus 1.8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$92.82</w:t>
            </w:r>
          </w:p>
        </w:tc>
        <w:tc>
          <w:tcPr/>
          <w:p>
            <w:pPr>
              <w:pStyle w:val="Compact"/>
            </w:pPr>
            <w:r>
              <w:t xml:space="preserve">-76.8%</w:t>
            </w:r>
          </w:p>
        </w:tc>
      </w:tr>
      <w:tr>
        <w:tc>
          <w:tcPr/>
          <w:p>
            <w:pPr>
              <w:pStyle w:val="Compact"/>
            </w:pPr>
            <w:r>
              <w:t xml:space="preserve">2Q</w:t>
            </w:r>
          </w:p>
        </w:tc>
        <w:tc>
          <w:tcPr/>
          <w:p>
            <w:pPr>
              <w:pStyle w:val="Compact"/>
            </w:pPr>
            <w:r>
              <w:t xml:space="preserve">Base</w:t>
            </w:r>
          </w:p>
        </w:tc>
        <w:tc>
          <w:tcPr/>
          <w:p>
            <w:pPr>
              <w:pStyle w:val="Compact"/>
            </w:pPr>
            <w:r>
              <w:t xml:space="preserve">$205.42</w:t>
            </w:r>
          </w:p>
        </w:tc>
        <w:tc>
          <w:tcPr/>
          <w:p>
            <w:pPr>
              <w:pStyle w:val="Compact"/>
            </w:pPr>
            <w:r>
              <w:t xml:space="preserve">-48.7%</w:t>
            </w:r>
          </w:p>
        </w:tc>
      </w:tr>
      <w:tr>
        <w:tc>
          <w:tcPr/>
          <w:p>
            <w:pPr>
              <w:pStyle w:val="Compact"/>
            </w:pPr>
            <w:r>
              <w:t xml:space="preserve">2Q</w:t>
            </w:r>
          </w:p>
        </w:tc>
        <w:tc>
          <w:tcPr/>
          <w:p>
            <w:pPr>
              <w:pStyle w:val="Compact"/>
            </w:pPr>
            <w:r>
              <w:t xml:space="preserve">Bull</w:t>
            </w:r>
          </w:p>
        </w:tc>
        <w:tc>
          <w:tcPr/>
          <w:p>
            <w:pPr>
              <w:pStyle w:val="Compact"/>
            </w:pPr>
            <w:r>
              <w:t xml:space="preserve">$337.46</w:t>
            </w:r>
          </w:p>
        </w:tc>
        <w:tc>
          <w:tcPr/>
          <w:p>
            <w:pPr>
              <w:pStyle w:val="Compact"/>
            </w:pPr>
            <w:r>
              <w:t xml:space="preserve">-15.7%</w:t>
            </w:r>
          </w:p>
        </w:tc>
      </w:tr>
      <w:tr>
        <w:tc>
          <w:tcPr/>
          <w:p>
            <w:pPr>
              <w:pStyle w:val="Compact"/>
            </w:pPr>
            <w:r>
              <w:t xml:space="preserve">4Q</w:t>
            </w:r>
          </w:p>
        </w:tc>
        <w:tc>
          <w:tcPr/>
          <w:p>
            <w:pPr>
              <w:pStyle w:val="Compact"/>
            </w:pPr>
            <w:r>
              <w:t xml:space="preserve">Bear</w:t>
            </w:r>
          </w:p>
        </w:tc>
        <w:tc>
          <w:tcPr/>
          <w:p>
            <w:pPr>
              <w:pStyle w:val="Compact"/>
            </w:pPr>
            <w:r>
              <w:t xml:space="preserve">$93.08</w:t>
            </w:r>
          </w:p>
        </w:tc>
        <w:tc>
          <w:tcPr/>
          <w:p>
            <w:pPr>
              <w:pStyle w:val="Compact"/>
            </w:pPr>
            <w:r>
              <w:t xml:space="preserve">-76.8%</w:t>
            </w:r>
          </w:p>
        </w:tc>
      </w:tr>
      <w:tr>
        <w:tc>
          <w:tcPr/>
          <w:p>
            <w:pPr>
              <w:pStyle w:val="Compact"/>
            </w:pPr>
            <w:r>
              <w:t xml:space="preserve">4Q</w:t>
            </w:r>
          </w:p>
        </w:tc>
        <w:tc>
          <w:tcPr/>
          <w:p>
            <w:pPr>
              <w:pStyle w:val="Compact"/>
            </w:pPr>
            <w:r>
              <w:t xml:space="preserve">Base</w:t>
            </w:r>
          </w:p>
        </w:tc>
        <w:tc>
          <w:tcPr/>
          <w:p>
            <w:pPr>
              <w:pStyle w:val="Compact"/>
            </w:pPr>
            <w:r>
              <w:t xml:space="preserve">$225.27</w:t>
            </w:r>
          </w:p>
        </w:tc>
        <w:tc>
          <w:tcPr/>
          <w:p>
            <w:pPr>
              <w:pStyle w:val="Compact"/>
            </w:pPr>
            <w:r>
              <w:t xml:space="preserve">-43.7%</w:t>
            </w:r>
          </w:p>
        </w:tc>
      </w:tr>
      <w:tr>
        <w:tc>
          <w:tcPr/>
          <w:p>
            <w:pPr>
              <w:pStyle w:val="Compact"/>
            </w:pPr>
            <w:r>
              <w:t xml:space="preserve">4Q</w:t>
            </w:r>
          </w:p>
        </w:tc>
        <w:tc>
          <w:tcPr/>
          <w:p>
            <w:pPr>
              <w:pStyle w:val="Compact"/>
            </w:pPr>
            <w:r>
              <w:t xml:space="preserve">Bull</w:t>
            </w:r>
          </w:p>
        </w:tc>
        <w:tc>
          <w:tcPr/>
          <w:p>
            <w:pPr>
              <w:pStyle w:val="Compact"/>
            </w:pPr>
            <w:r>
              <w:t xml:space="preserve">$389.19</w:t>
            </w:r>
          </w:p>
        </w:tc>
        <w:tc>
          <w:tcPr/>
          <w:p>
            <w:pPr>
              <w:pStyle w:val="Compact"/>
            </w:pPr>
            <w:r>
              <w:t xml:space="preserve">-2.8%</w:t>
            </w:r>
          </w:p>
        </w:tc>
      </w:tr>
      <w:tr>
        <w:tc>
          <w:tcPr/>
          <w:p>
            <w:pPr>
              <w:pStyle w:val="Compact"/>
            </w:pPr>
            <w:r>
              <w:t xml:space="preserve">6Q</w:t>
            </w:r>
          </w:p>
        </w:tc>
        <w:tc>
          <w:tcPr/>
          <w:p>
            <w:pPr>
              <w:pStyle w:val="Compact"/>
            </w:pPr>
            <w:r>
              <w:t xml:space="preserve">Bear</w:t>
            </w:r>
          </w:p>
        </w:tc>
        <w:tc>
          <w:tcPr/>
          <w:p>
            <w:pPr>
              <w:pStyle w:val="Compact"/>
            </w:pPr>
            <w:r>
              <w:t xml:space="preserve">$93.31</w:t>
            </w:r>
          </w:p>
        </w:tc>
        <w:tc>
          <w:tcPr/>
          <w:p>
            <w:pPr>
              <w:pStyle w:val="Compact"/>
            </w:pPr>
            <w:r>
              <w:t xml:space="preserve">-76.7%</w:t>
            </w:r>
          </w:p>
        </w:tc>
      </w:tr>
      <w:tr>
        <w:tc>
          <w:tcPr/>
          <w:p>
            <w:pPr>
              <w:pStyle w:val="Compact"/>
            </w:pPr>
            <w:r>
              <w:t xml:space="preserve">6Q</w:t>
            </w:r>
          </w:p>
        </w:tc>
        <w:tc>
          <w:tcPr/>
          <w:p>
            <w:pPr>
              <w:pStyle w:val="Compact"/>
            </w:pPr>
            <w:r>
              <w:t xml:space="preserve">Base</w:t>
            </w:r>
          </w:p>
        </w:tc>
        <w:tc>
          <w:tcPr/>
          <w:p>
            <w:pPr>
              <w:pStyle w:val="Compact"/>
            </w:pPr>
            <w:r>
              <w:t xml:space="preserve">$246.91</w:t>
            </w:r>
          </w:p>
        </w:tc>
        <w:tc>
          <w:tcPr/>
          <w:p>
            <w:pPr>
              <w:pStyle w:val="Compact"/>
            </w:pPr>
            <w:r>
              <w:t xml:space="preserve">-38.3%</w:t>
            </w:r>
          </w:p>
        </w:tc>
      </w:tr>
      <w:tr>
        <w:tc>
          <w:tcPr/>
          <w:p>
            <w:pPr>
              <w:pStyle w:val="Compact"/>
            </w:pPr>
            <w:r>
              <w:t xml:space="preserve">6Q</w:t>
            </w:r>
          </w:p>
        </w:tc>
        <w:tc>
          <w:tcPr/>
          <w:p>
            <w:pPr>
              <w:pStyle w:val="Compact"/>
            </w:pPr>
            <w:r>
              <w:t xml:space="preserve">Bull</w:t>
            </w:r>
          </w:p>
        </w:tc>
        <w:tc>
          <w:tcPr/>
          <w:p>
            <w:pPr>
              <w:pStyle w:val="Compact"/>
            </w:pPr>
            <w:r>
              <w:t xml:space="preserve">$448.39</w:t>
            </w:r>
          </w:p>
        </w:tc>
        <w:tc>
          <w:tcPr/>
          <w:p>
            <w:pPr>
              <w:pStyle w:val="Compact"/>
            </w:pPr>
            <w:r>
              <w:t xml:space="preserve">12.0%</w:t>
            </w:r>
          </w:p>
        </w:tc>
      </w:tr>
      <w:tr>
        <w:tc>
          <w:tcPr/>
          <w:p>
            <w:pPr>
              <w:pStyle w:val="Compact"/>
            </w:pPr>
            <w:r>
              <w:t xml:space="preserve">8Q</w:t>
            </w:r>
          </w:p>
        </w:tc>
        <w:tc>
          <w:tcPr/>
          <w:p>
            <w:pPr>
              <w:pStyle w:val="Compact"/>
            </w:pPr>
            <w:r>
              <w:t xml:space="preserve">Bear</w:t>
            </w:r>
          </w:p>
        </w:tc>
        <w:tc>
          <w:tcPr/>
          <w:p>
            <w:pPr>
              <w:pStyle w:val="Compact"/>
            </w:pPr>
            <w:r>
              <w:t xml:space="preserve">$93.52</w:t>
            </w:r>
          </w:p>
        </w:tc>
        <w:tc>
          <w:tcPr/>
          <w:p>
            <w:pPr>
              <w:pStyle w:val="Compact"/>
            </w:pPr>
            <w:r>
              <w:t xml:space="preserve">-76.6%</w:t>
            </w:r>
          </w:p>
        </w:tc>
      </w:tr>
      <w:tr>
        <w:tc>
          <w:tcPr/>
          <w:p>
            <w:pPr>
              <w:pStyle w:val="Compact"/>
            </w:pPr>
            <w:r>
              <w:t xml:space="preserve">8Q</w:t>
            </w:r>
          </w:p>
        </w:tc>
        <w:tc>
          <w:tcPr/>
          <w:p>
            <w:pPr>
              <w:pStyle w:val="Compact"/>
            </w:pPr>
            <w:r>
              <w:t xml:space="preserve">Base</w:t>
            </w:r>
          </w:p>
        </w:tc>
        <w:tc>
          <w:tcPr/>
          <w:p>
            <w:pPr>
              <w:pStyle w:val="Compact"/>
            </w:pPr>
            <w:r>
              <w:t xml:space="preserve">$270.52</w:t>
            </w:r>
          </w:p>
        </w:tc>
        <w:tc>
          <w:tcPr/>
          <w:p>
            <w:pPr>
              <w:pStyle w:val="Compact"/>
            </w:pPr>
            <w:r>
              <w:t xml:space="preserve">-32.4%</w:t>
            </w:r>
          </w:p>
        </w:tc>
      </w:tr>
      <w:tr>
        <w:tc>
          <w:tcPr/>
          <w:p>
            <w:pPr>
              <w:pStyle w:val="Compact"/>
            </w:pPr>
            <w:r>
              <w:t xml:space="preserve">8Q</w:t>
            </w:r>
          </w:p>
        </w:tc>
        <w:tc>
          <w:tcPr/>
          <w:p>
            <w:pPr>
              <w:pStyle w:val="Compact"/>
            </w:pPr>
            <w:r>
              <w:t xml:space="preserve">Bull</w:t>
            </w:r>
          </w:p>
        </w:tc>
        <w:tc>
          <w:tcPr/>
          <w:p>
            <w:pPr>
              <w:pStyle w:val="Compact"/>
            </w:pPr>
            <w:r>
              <w:t xml:space="preserve">$516.12</w:t>
            </w:r>
          </w:p>
        </w:tc>
        <w:tc>
          <w:tcPr/>
          <w:p>
            <w:pPr>
              <w:pStyle w:val="Compact"/>
            </w:pPr>
            <w:r>
              <w:t xml:space="preserve">28.9%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45.7x</w:t>
            </w:r>
          </w:p>
        </w:tc>
      </w:tr>
      <w:tr>
        <w:tc>
          <w:tcPr/>
          <w:p>
            <w:pPr>
              <w:pStyle w:val="Compact"/>
            </w:pPr>
            <w:r>
              <w:t xml:space="preserve">4Q</w:t>
            </w:r>
          </w:p>
        </w:tc>
        <w:tc>
          <w:tcPr/>
          <w:p>
            <w:pPr>
              <w:pStyle w:val="Compact"/>
            </w:pPr>
            <w:r>
              <w:t xml:space="preserve">39.5x</w:t>
            </w:r>
          </w:p>
        </w:tc>
      </w:tr>
      <w:tr>
        <w:tc>
          <w:tcPr/>
          <w:p>
            <w:pPr>
              <w:pStyle w:val="Compact"/>
            </w:pPr>
            <w:r>
              <w:t xml:space="preserve">6Q</w:t>
            </w:r>
          </w:p>
        </w:tc>
        <w:tc>
          <w:tcPr/>
          <w:p>
            <w:pPr>
              <w:pStyle w:val="Compact"/>
            </w:pPr>
            <w:r>
              <w:t xml:space="preserve">34.2x</w:t>
            </w:r>
          </w:p>
        </w:tc>
      </w:tr>
      <w:tr>
        <w:tc>
          <w:tcPr/>
          <w:p>
            <w:pPr>
              <w:pStyle w:val="Compact"/>
            </w:pPr>
            <w:r>
              <w:t xml:space="preserve">8Q</w:t>
            </w:r>
          </w:p>
        </w:tc>
        <w:tc>
          <w:tcPr/>
          <w:p>
            <w:pPr>
              <w:pStyle w:val="Compact"/>
            </w:pPr>
            <w:r>
              <w:t xml:space="preserve">29.6x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15.4%</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$80.37</w:t>
            </w:r>
          </w:p>
        </w:tc>
        <w:tc>
          <w:tcPr/>
          <w:p>
            <w:pPr>
              <w:pStyle w:val="Compact"/>
            </w:pPr>
            <w:r>
              <w:t xml:space="preserve">-79.9%</w:t>
            </w:r>
          </w:p>
        </w:tc>
      </w:tr>
      <w:tr>
        <w:tc>
          <w:tcPr/>
          <w:p>
            <w:pPr>
              <w:pStyle w:val="Compact"/>
            </w:pPr>
            <w:r>
              <w:t xml:space="preserve">Base</w:t>
            </w:r>
          </w:p>
        </w:tc>
        <w:tc>
          <w:tcPr/>
          <w:p>
            <w:pPr>
              <w:pStyle w:val="Compact"/>
            </w:pPr>
            <w:r>
              <w:t xml:space="preserve">30.8%</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$210.37</w:t>
            </w:r>
          </w:p>
        </w:tc>
        <w:tc>
          <w:tcPr/>
          <w:p>
            <w:pPr>
              <w:pStyle w:val="Compact"/>
            </w:pPr>
            <w:r>
              <w:t xml:space="preserve">-47.5%</w:t>
            </w:r>
          </w:p>
        </w:tc>
      </w:tr>
      <w:tr>
        <w:tc>
          <w:tcPr/>
          <w:p>
            <w:pPr>
              <w:pStyle w:val="Compact"/>
            </w:pPr>
            <w:r>
              <w:t xml:space="preserve">Bull</w:t>
            </w:r>
          </w:p>
        </w:tc>
        <w:tc>
          <w:tcPr/>
          <w:p>
            <w:pPr>
              <w:pStyle w:val="Compact"/>
            </w:pPr>
            <w:r>
              <w:t xml:space="preserve">40.0%</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$383.18</w:t>
            </w:r>
          </w:p>
        </w:tc>
        <w:tc>
          <w:tcPr/>
          <w:p>
            <w:pPr>
              <w:pStyle w:val="Compact"/>
            </w:pPr>
            <w:r>
              <w:t xml:space="preserve">-4.3%</w:t>
            </w:r>
          </w:p>
        </w:tc>
      </w:tr>
    </w:tbl>
    <w:p>
      <w:pPr>
        <w:pStyle w:val="BodyText"/>
      </w:pPr>
      <w:r>
        <w:t xml:space="preserve">Probability-weighted value</w:t>
      </w:r>
      <w:r>
        <w:t xml:space="preserve"> </w:t>
      </w:r>
      <w:r>
        <w:rPr>
          <w:b/>
          <w:bCs/>
        </w:rPr>
        <w:t xml:space="preserve">$221.07</w:t>
      </w:r>
      <w:r>
        <w:t xml:space="preserve"> </w:t>
      </w:r>
      <w:r>
        <w:t xml:space="preserve">(-44.8%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30.5 bn USD; terminal share 53.8%.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48.8%</w:t>
      </w:r>
      <w:r>
        <w:t xml:space="preserve"> </w:t>
      </w:r>
      <w:r>
        <w:t xml:space="preserve">vs consensus FY+1 30.8%.</w:t>
      </w:r>
    </w:p>
    <w:p>
      <w:pPr>
        <w:pStyle w:val="Compact"/>
        <w:numPr>
          <w:ilvl w:val="0"/>
          <w:numId w:val="1013"/>
        </w:numPr>
      </w:pPr>
      <w:r>
        <w:t xml:space="preserve">WACC (CAPM) = rf 5.2% + β 1.29 × ERP 5.0% = 11.7%.</w:t>
      </w:r>
    </w:p>
    <w:p>
      <w:pPr>
        <w:pStyle w:val="Compact"/>
        <w:numPr>
          <w:ilvl w:val="0"/>
          <w:numId w:val="1013"/>
        </w:numPr>
      </w:pPr>
      <w:r>
        <w:t xml:space="preserve">SOTP segments: Networking platforms </w:t>
      </w:r>
      <w:r>
        <w:rPr>
          <w:rFonts w:hint="eastAsia"/>
        </w:rPr>
        <w:t xml:space="preserve">网络平台;</w:t>
      </w:r>
      <w:r>
        <w:t xml:space="preserve"> Platform software &amp; services </w:t>
      </w:r>
      <w:r>
        <w:rPr>
          <w:rFonts w:hint="eastAsia"/>
        </w:rPr>
        <w:t xml:space="preserve">软件服务;</w:t>
      </w:r>
      <w:r>
        <w:t xml:space="preserve"> Blue Planet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Carrier spending weak; competition from </w:t>
      </w:r>
      <w:r>
        <w:rPr>
          <w:rFonts w:hint="eastAsia"/>
        </w:rPr>
        <w:t xml:space="preserve">Nokia/Infinera｜运营商开支疲弱；诺基亚竞争</w:t>
      </w:r>
      <w:r>
        <w:t xml:space="preserve"> | Falsifiers: Order book/backlog falls; GM not </w:t>
      </w:r>
      <w:r>
        <w:rPr>
          <w:rFonts w:hint="eastAsia"/>
        </w:rPr>
        <w:t xml:space="preserve">improving｜订单/积压下降；毛利不改善</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CIEN_model_v20261014-0758.xlsx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2026-10-14T00:00:17Z</dcterms:created>
  <dcterms:modified xsi:type="dcterms:W3CDTF">2026-10-14T00:00:17Z</dcterms:modified>
</cp:coreProperties>
</file>

<file path=docProps/custom.xml><?xml version="1.0" encoding="utf-8"?>
<Properties xmlns="http://schemas.openxmlformats.org/officeDocument/2006/custom-properties" xmlns:vt="http://schemas.openxmlformats.org/officeDocument/2006/docPropsVTypes"/>
</file>