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3-1622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$288.02。我们的Base模型认为每股价值约</w:t>
      </w:r>
      <w:r>
        <w:t xml:space="preserve"> </w:t>
      </w:r>
      <w:r>
        <w:rPr>
          <w:rFonts w:hint="eastAsia"/>
        </w:rPr>
        <w:t xml:space="preserve">$163（-43.3%）。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33.7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38.8%；价格隐含增速</w:t>
      </w:r>
      <w:r>
        <w:t xml:space="preserve"> 53.8%。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$42 / Base $163 / Bull </w:t>
      </w:r>
      <w:r>
        <w:rPr>
          <w:rFonts w:hint="eastAsia"/>
        </w:rPr>
        <w:t xml:space="preserve">$337；概率加权</w:t>
      </w:r>
      <w:r>
        <w:t xml:space="preserve"> $176。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43ac3f21c8c0b07badd218502ce9644a9791f5"/>
    <w:p>
      <w:pPr>
        <w:pStyle w:val="Heading1"/>
      </w:pPr>
      <w:r>
        <w:t xml:space="preserve">COHR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$288.02; our Base model value ≈ $163 (-43.3%).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38.8%; m = long-run FCF margin = 15.0%; W = 13.2%.</w:t>
      </w:r>
      <w:r>
        <w:t xml:space="preserve"> </w:t>
      </w:r>
      <w:r>
        <w:t xml:space="preserve">R₁ = R₀×(1+g₁) = 9.9 bn USD; FCF₁ = -0.8 bn USD; PV = FCF₁/(1+W) = -0.7 bn USD; 10 years + terminal → EV 33.7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38.8%; price-implied growth 53.8%.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$42 / Base $163 / Bull $337; weighted $176.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2026-10-13T08:24:33Z</dcterms:created>
  <dcterms:modified xsi:type="dcterms:W3CDTF">2026-10-13T08:24:33Z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