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e0aee28a47bdf47f3e6dc715a11807f238af0c"/>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$779.16｜市值</w:t>
      </w:r>
      <w:r>
        <w:t xml:space="preserve"> 34.4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8.33867（9位分析师）；收入一致预期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$384.10</w:t>
            </w:r>
          </w:p>
        </w:tc>
        <w:tc>
          <w:tcPr/>
          <w:p>
            <w:pPr>
              <w:pStyle w:val="Compact"/>
            </w:pPr>
            <w:r>
              <w:t xml:space="preserve">-50.7%</w:t>
            </w:r>
          </w:p>
        </w:tc>
      </w:tr>
      <w:tr>
        <w:tc>
          <w:tcPr/>
          <w:p>
            <w:pPr>
              <w:pStyle w:val="Compact"/>
            </w:pPr>
            <w:r>
              <w:t xml:space="preserve">2Q</w:t>
            </w:r>
          </w:p>
        </w:tc>
        <w:tc>
          <w:tcPr/>
          <w:p>
            <w:pPr>
              <w:pStyle w:val="Compact"/>
            </w:pPr>
            <w:r>
              <w:t xml:space="preserve">Base</w:t>
            </w:r>
          </w:p>
        </w:tc>
        <w:tc>
          <w:tcPr/>
          <w:p>
            <w:pPr>
              <w:pStyle w:val="Compact"/>
            </w:pPr>
            <w:r>
              <w:t xml:space="preserve">$724.09</w:t>
            </w:r>
          </w:p>
        </w:tc>
        <w:tc>
          <w:tcPr/>
          <w:p>
            <w:pPr>
              <w:pStyle w:val="Compact"/>
            </w:pPr>
            <w:r>
              <w:t xml:space="preserve">-7.1%</w:t>
            </w:r>
          </w:p>
        </w:tc>
      </w:tr>
      <w:tr>
        <w:tc>
          <w:tcPr/>
          <w:p>
            <w:pPr>
              <w:pStyle w:val="Compact"/>
            </w:pPr>
            <w:r>
              <w:t xml:space="preserve">2Q</w:t>
            </w:r>
          </w:p>
        </w:tc>
        <w:tc>
          <w:tcPr/>
          <w:p>
            <w:pPr>
              <w:pStyle w:val="Compact"/>
            </w:pPr>
            <w:r>
              <w:t xml:space="preserve">Bull</w:t>
            </w:r>
          </w:p>
        </w:tc>
        <w:tc>
          <w:tcPr/>
          <w:p>
            <w:pPr>
              <w:pStyle w:val="Compact"/>
            </w:pPr>
            <w:r>
              <w:t xml:space="preserve">$1,099.12</w:t>
            </w:r>
          </w:p>
        </w:tc>
        <w:tc>
          <w:tcPr/>
          <w:p>
            <w:pPr>
              <w:pStyle w:val="Compact"/>
            </w:pPr>
            <w:r>
              <w:t xml:space="preserve">41.1%</w:t>
            </w:r>
          </w:p>
        </w:tc>
      </w:tr>
      <w:tr>
        <w:tc>
          <w:tcPr/>
          <w:p>
            <w:pPr>
              <w:pStyle w:val="Compact"/>
            </w:pPr>
            <w:r>
              <w:t xml:space="preserve">4Q</w:t>
            </w:r>
          </w:p>
        </w:tc>
        <w:tc>
          <w:tcPr/>
          <w:p>
            <w:pPr>
              <w:pStyle w:val="Compact"/>
            </w:pPr>
            <w:r>
              <w:t xml:space="preserve">Bear</w:t>
            </w:r>
          </w:p>
        </w:tc>
        <w:tc>
          <w:tcPr/>
          <w:p>
            <w:pPr>
              <w:pStyle w:val="Compact"/>
            </w:pPr>
            <w:r>
              <w:t xml:space="preserve">$362.58</w:t>
            </w:r>
          </w:p>
        </w:tc>
        <w:tc>
          <w:tcPr/>
          <w:p>
            <w:pPr>
              <w:pStyle w:val="Compact"/>
            </w:pPr>
            <w:r>
              <w:t xml:space="preserve">-53.5%</w:t>
            </w:r>
          </w:p>
        </w:tc>
      </w:tr>
      <w:tr>
        <w:tc>
          <w:tcPr/>
          <w:p>
            <w:pPr>
              <w:pStyle w:val="Compact"/>
            </w:pPr>
            <w:r>
              <w:t xml:space="preserve">4Q</w:t>
            </w:r>
          </w:p>
        </w:tc>
        <w:tc>
          <w:tcPr/>
          <w:p>
            <w:pPr>
              <w:pStyle w:val="Compact"/>
            </w:pPr>
            <w:r>
              <w:t xml:space="preserve">Base</w:t>
            </w:r>
          </w:p>
        </w:tc>
        <w:tc>
          <w:tcPr/>
          <w:p>
            <w:pPr>
              <w:pStyle w:val="Compact"/>
            </w:pPr>
            <w:r>
              <w:t xml:space="preserve">$717.20</w:t>
            </w:r>
          </w:p>
        </w:tc>
        <w:tc>
          <w:tcPr/>
          <w:p>
            <w:pPr>
              <w:pStyle w:val="Compact"/>
            </w:pPr>
            <w:r>
              <w:t xml:space="preserve">-8.0%</w:t>
            </w:r>
          </w:p>
        </w:tc>
      </w:tr>
      <w:tr>
        <w:tc>
          <w:tcPr/>
          <w:p>
            <w:pPr>
              <w:pStyle w:val="Compact"/>
            </w:pPr>
            <w:r>
              <w:t xml:space="preserve">4Q</w:t>
            </w:r>
          </w:p>
        </w:tc>
        <w:tc>
          <w:tcPr/>
          <w:p>
            <w:pPr>
              <w:pStyle w:val="Compact"/>
            </w:pPr>
            <w:r>
              <w:t xml:space="preserve">Bull</w:t>
            </w:r>
          </w:p>
        </w:tc>
        <w:tc>
          <w:tcPr/>
          <w:p>
            <w:pPr>
              <w:pStyle w:val="Compact"/>
            </w:pPr>
            <w:r>
              <w:t xml:space="preserve">$1,121.35</w:t>
            </w:r>
          </w:p>
        </w:tc>
        <w:tc>
          <w:tcPr/>
          <w:p>
            <w:pPr>
              <w:pStyle w:val="Compact"/>
            </w:pPr>
            <w:r>
              <w:t xml:space="preserve">43.9%</w:t>
            </w:r>
          </w:p>
        </w:tc>
      </w:tr>
      <w:tr>
        <w:tc>
          <w:tcPr/>
          <w:p>
            <w:pPr>
              <w:pStyle w:val="Compact"/>
            </w:pPr>
            <w:r>
              <w:t xml:space="preserve">6Q</w:t>
            </w:r>
          </w:p>
        </w:tc>
        <w:tc>
          <w:tcPr/>
          <w:p>
            <w:pPr>
              <w:pStyle w:val="Compact"/>
            </w:pPr>
            <w:r>
              <w:t xml:space="preserve">Bear</w:t>
            </w:r>
          </w:p>
        </w:tc>
        <w:tc>
          <w:tcPr/>
          <w:p>
            <w:pPr>
              <w:pStyle w:val="Compact"/>
            </w:pPr>
            <w:r>
              <w:t xml:space="preserve">$342.03</w:t>
            </w:r>
          </w:p>
        </w:tc>
        <w:tc>
          <w:tcPr/>
          <w:p>
            <w:pPr>
              <w:pStyle w:val="Compact"/>
            </w:pPr>
            <w:r>
              <w:t xml:space="preserve">-56.1%</w:t>
            </w:r>
          </w:p>
        </w:tc>
      </w:tr>
      <w:tr>
        <w:tc>
          <w:tcPr/>
          <w:p>
            <w:pPr>
              <w:pStyle w:val="Compact"/>
            </w:pPr>
            <w:r>
              <w:t xml:space="preserve">6Q</w:t>
            </w:r>
          </w:p>
        </w:tc>
        <w:tc>
          <w:tcPr/>
          <w:p>
            <w:pPr>
              <w:pStyle w:val="Compact"/>
            </w:pPr>
            <w:r>
              <w:t xml:space="preserve">Base</w:t>
            </w:r>
          </w:p>
        </w:tc>
        <w:tc>
          <w:tcPr/>
          <w:p>
            <w:pPr>
              <w:pStyle w:val="Compact"/>
            </w:pPr>
            <w:r>
              <w:t xml:space="preserve">$710.37</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$1,143.96</w:t>
            </w:r>
          </w:p>
        </w:tc>
        <w:tc>
          <w:tcPr/>
          <w:p>
            <w:pPr>
              <w:pStyle w:val="Compact"/>
            </w:pPr>
            <w:r>
              <w:t xml:space="preserve">46.8%</w:t>
            </w:r>
          </w:p>
        </w:tc>
      </w:tr>
      <w:tr>
        <w:tc>
          <w:tcPr/>
          <w:p>
            <w:pPr>
              <w:pStyle w:val="Compact"/>
            </w:pPr>
            <w:r>
              <w:t xml:space="preserve">8Q</w:t>
            </w:r>
          </w:p>
        </w:tc>
        <w:tc>
          <w:tcPr/>
          <w:p>
            <w:pPr>
              <w:pStyle w:val="Compact"/>
            </w:pPr>
            <w:r>
              <w:t xml:space="preserve">Bear</w:t>
            </w:r>
          </w:p>
        </w:tc>
        <w:tc>
          <w:tcPr/>
          <w:p>
            <w:pPr>
              <w:pStyle w:val="Compact"/>
            </w:pPr>
            <w:r>
              <w:t xml:space="preserve">$322.41</w:t>
            </w:r>
          </w:p>
        </w:tc>
        <w:tc>
          <w:tcPr/>
          <w:p>
            <w:pPr>
              <w:pStyle w:val="Compact"/>
            </w:pPr>
            <w:r>
              <w:t xml:space="preserve">-58.6%</w:t>
            </w:r>
          </w:p>
        </w:tc>
      </w:tr>
      <w:tr>
        <w:tc>
          <w:tcPr/>
          <w:p>
            <w:pPr>
              <w:pStyle w:val="Compact"/>
            </w:pPr>
            <w:r>
              <w:t xml:space="preserve">8Q</w:t>
            </w:r>
          </w:p>
        </w:tc>
        <w:tc>
          <w:tcPr/>
          <w:p>
            <w:pPr>
              <w:pStyle w:val="Compact"/>
            </w:pPr>
            <w:r>
              <w:t xml:space="preserve">Base</w:t>
            </w:r>
          </w:p>
        </w:tc>
        <w:tc>
          <w:tcPr/>
          <w:p>
            <w:pPr>
              <w:pStyle w:val="Compact"/>
            </w:pPr>
            <w:r>
              <w:t xml:space="preserve">$703.60</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$1,166.98</w:t>
            </w:r>
          </w:p>
        </w:tc>
        <w:tc>
          <w:tcPr/>
          <w:p>
            <w:pPr>
              <w:pStyle w:val="Compact"/>
            </w:pPr>
            <w:r>
              <w:t xml:space="preserve">49.8%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25.6x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23.5x</w:t>
            </w:r>
          </w:p>
        </w:tc>
      </w:tr>
      <w:tr>
        <w:tc>
          <w:tcPr/>
          <w:p>
            <w:pPr>
              <w:pStyle w:val="Compact"/>
            </w:pPr>
            <w:r>
              <w:t xml:space="preserve">8Q</w:t>
            </w:r>
          </w:p>
        </w:tc>
        <w:tc>
          <w:tcPr/>
          <w:p>
            <w:pPr>
              <w:pStyle w:val="Compact"/>
            </w:pPr>
            <w:r>
              <w:t xml:space="preserve">22.5x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4.9%</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$264.66</w:t>
            </w:r>
          </w:p>
        </w:tc>
        <w:tc>
          <w:tcPr/>
          <w:p>
            <w:pPr>
              <w:pStyle w:val="Compact"/>
            </w:pPr>
            <w:r>
              <w:t xml:space="preserve">-66.0%</w:t>
            </w:r>
          </w:p>
        </w:tc>
      </w:tr>
      <w:tr>
        <w:tc>
          <w:tcPr/>
          <w:p>
            <w:pPr>
              <w:pStyle w:val="Compact"/>
            </w:pPr>
            <w:r>
              <w:t xml:space="preserve">Base</w:t>
            </w:r>
          </w:p>
        </w:tc>
        <w:tc>
          <w:tcPr/>
          <w:p>
            <w:pPr>
              <w:pStyle w:val="Compact"/>
            </w:pPr>
            <w:r>
              <w:t xml:space="preserve">9.9%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$449.79</w:t>
            </w:r>
          </w:p>
        </w:tc>
        <w:tc>
          <w:tcPr/>
          <w:p>
            <w:pPr>
              <w:pStyle w:val="Compact"/>
            </w:pPr>
            <w:r>
              <w:t xml:space="preserve">-42.3%</w:t>
            </w:r>
          </w:p>
        </w:tc>
      </w:tr>
      <w:tr>
        <w:tc>
          <w:tcPr/>
          <w:p>
            <w:pPr>
              <w:pStyle w:val="Compact"/>
            </w:pPr>
            <w:r>
              <w:t xml:space="preserve">Bull</w:t>
            </w:r>
          </w:p>
        </w:tc>
        <w:tc>
          <w:tcPr/>
          <w:p>
            <w:pPr>
              <w:pStyle w:val="Compact"/>
            </w:pPr>
            <w:r>
              <w:t xml:space="preserve">12.8%</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$647.67</w:t>
            </w:r>
          </w:p>
        </w:tc>
        <w:tc>
          <w:tcPr/>
          <w:p>
            <w:pPr>
              <w:pStyle w:val="Compact"/>
            </w:pPr>
            <w:r>
              <w:t xml:space="preserve">-16.9%</w:t>
            </w:r>
          </w:p>
        </w:tc>
      </w:tr>
    </w:tbl>
    <w:p>
      <w:pPr>
        <w:pStyle w:val="BodyText"/>
      </w:pPr>
      <w:r>
        <w:rPr>
          <w:rFonts w:hint="eastAsia"/>
        </w:rPr>
        <w:t xml:space="preserve">概率加权价值</w:t>
      </w:r>
      <w:r>
        <w:t xml:space="preserve"> </w:t>
      </w:r>
      <w:r>
        <w:rPr>
          <w:b/>
          <w:bCs/>
        </w:rPr>
        <w:t xml:space="preserve">$452.98</w:t>
      </w:r>
      <w:r>
        <w:rPr>
          <w:rFonts w:hint="eastAsia"/>
        </w:rPr>
        <w:t xml:space="preserve">（相对现价</w:t>
      </w:r>
      <w:r>
        <w:t xml:space="preserve"> </w:t>
      </w:r>
      <w:r>
        <w:rPr>
          <w:rFonts w:hint="eastAsia"/>
        </w:rPr>
        <w:t xml:space="preserve">-41.9%）。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19.5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24.4%</w:t>
      </w:r>
      <w:r>
        <w:rPr>
          <w:rFonts w:hint="eastAsia"/>
        </w:rPr>
        <w:t xml:space="preserve">；一致预期FY+1增速</w:t>
      </w:r>
      <w:r>
        <w:t xml:space="preserve"> 9.9%。</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34.4 bn USD | 1.8x | 21.2x | 19.8% | 19.4% | 3.4% |</w:t>
      </w:r>
      <w:r>
        <w:t xml:space="preserve"> </w:t>
      </w:r>
      <w:r>
        <w:t xml:space="preserve">| PWR | 104.5 bn USD | 3.4x | 35.1x | 41.1% | 15.5% | 1.9% |</w:t>
      </w:r>
      <w:r>
        <w:t xml:space="preserve"> </w:t>
      </w:r>
      <w:r>
        <w:t xml:space="preserve">| FIX | 57.7 bn USD | 5.0x | 27.2x | 50.3% | 25.7% | 3.2% |</w:t>
      </w:r>
      <w:r>
        <w:t xml:space="preserve"> </w:t>
      </w:r>
      <w:r>
        <w:t xml:space="preserve">| MYRG | 4.9 bn USD | 1.2x | 21.5x | 20.1% | 12.5% | 3.6% |</w:t>
      </w:r>
      <w:r>
        <w:t xml:space="preserve"> </w:t>
      </w:r>
      <w:r>
        <w:t xml:space="preserve">| STRL | 15.3 bn USD | 4.4x | 19.7x | 90.1% | 23.8% | 2.3%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779.2</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3.437e+10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0.1962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0.0987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0.0987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2a9150ec51dad0518788cabc60945b6d6996be"/>
    <w:p>
      <w:pPr>
        <w:pStyle w:val="Heading1"/>
      </w:pPr>
      <w:r>
        <w:t xml:space="preserve">EME EMCOR Group, Inc. — Equity Deep Dive (Professional English) v20261013-1812</w:t>
      </w:r>
    </w:p>
    <w:p>
      <w:pPr>
        <w:pStyle w:val="BlockText"/>
      </w:pPr>
      <w:r>
        <w:t xml:space="preserve">Data as of 2026-10-13 18:12 SGT | Price $779.16 | Mkt cap 34.4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8.33867 (9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$384.10</w:t>
            </w:r>
          </w:p>
        </w:tc>
        <w:tc>
          <w:tcPr/>
          <w:p>
            <w:pPr>
              <w:pStyle w:val="Compact"/>
            </w:pPr>
            <w:r>
              <w:t xml:space="preserve">-50.7%</w:t>
            </w:r>
          </w:p>
        </w:tc>
      </w:tr>
      <w:tr>
        <w:tc>
          <w:tcPr/>
          <w:p>
            <w:pPr>
              <w:pStyle w:val="Compact"/>
            </w:pPr>
            <w:r>
              <w:t xml:space="preserve">2Q</w:t>
            </w:r>
          </w:p>
        </w:tc>
        <w:tc>
          <w:tcPr/>
          <w:p>
            <w:pPr>
              <w:pStyle w:val="Compact"/>
            </w:pPr>
            <w:r>
              <w:t xml:space="preserve">Base</w:t>
            </w:r>
          </w:p>
        </w:tc>
        <w:tc>
          <w:tcPr/>
          <w:p>
            <w:pPr>
              <w:pStyle w:val="Compact"/>
            </w:pPr>
            <w:r>
              <w:t xml:space="preserve">$724.09</w:t>
            </w:r>
          </w:p>
        </w:tc>
        <w:tc>
          <w:tcPr/>
          <w:p>
            <w:pPr>
              <w:pStyle w:val="Compact"/>
            </w:pPr>
            <w:r>
              <w:t xml:space="preserve">-7.1%</w:t>
            </w:r>
          </w:p>
        </w:tc>
      </w:tr>
      <w:tr>
        <w:tc>
          <w:tcPr/>
          <w:p>
            <w:pPr>
              <w:pStyle w:val="Compact"/>
            </w:pPr>
            <w:r>
              <w:t xml:space="preserve">2Q</w:t>
            </w:r>
          </w:p>
        </w:tc>
        <w:tc>
          <w:tcPr/>
          <w:p>
            <w:pPr>
              <w:pStyle w:val="Compact"/>
            </w:pPr>
            <w:r>
              <w:t xml:space="preserve">Bull</w:t>
            </w:r>
          </w:p>
        </w:tc>
        <w:tc>
          <w:tcPr/>
          <w:p>
            <w:pPr>
              <w:pStyle w:val="Compact"/>
            </w:pPr>
            <w:r>
              <w:t xml:space="preserve">$1,099.12</w:t>
            </w:r>
          </w:p>
        </w:tc>
        <w:tc>
          <w:tcPr/>
          <w:p>
            <w:pPr>
              <w:pStyle w:val="Compact"/>
            </w:pPr>
            <w:r>
              <w:t xml:space="preserve">41.1%</w:t>
            </w:r>
          </w:p>
        </w:tc>
      </w:tr>
      <w:tr>
        <w:tc>
          <w:tcPr/>
          <w:p>
            <w:pPr>
              <w:pStyle w:val="Compact"/>
            </w:pPr>
            <w:r>
              <w:t xml:space="preserve">4Q</w:t>
            </w:r>
          </w:p>
        </w:tc>
        <w:tc>
          <w:tcPr/>
          <w:p>
            <w:pPr>
              <w:pStyle w:val="Compact"/>
            </w:pPr>
            <w:r>
              <w:t xml:space="preserve">Bear</w:t>
            </w:r>
          </w:p>
        </w:tc>
        <w:tc>
          <w:tcPr/>
          <w:p>
            <w:pPr>
              <w:pStyle w:val="Compact"/>
            </w:pPr>
            <w:r>
              <w:t xml:space="preserve">$362.58</w:t>
            </w:r>
          </w:p>
        </w:tc>
        <w:tc>
          <w:tcPr/>
          <w:p>
            <w:pPr>
              <w:pStyle w:val="Compact"/>
            </w:pPr>
            <w:r>
              <w:t xml:space="preserve">-53.5%</w:t>
            </w:r>
          </w:p>
        </w:tc>
      </w:tr>
      <w:tr>
        <w:tc>
          <w:tcPr/>
          <w:p>
            <w:pPr>
              <w:pStyle w:val="Compact"/>
            </w:pPr>
            <w:r>
              <w:t xml:space="preserve">4Q</w:t>
            </w:r>
          </w:p>
        </w:tc>
        <w:tc>
          <w:tcPr/>
          <w:p>
            <w:pPr>
              <w:pStyle w:val="Compact"/>
            </w:pPr>
            <w:r>
              <w:t xml:space="preserve">Base</w:t>
            </w:r>
          </w:p>
        </w:tc>
        <w:tc>
          <w:tcPr/>
          <w:p>
            <w:pPr>
              <w:pStyle w:val="Compact"/>
            </w:pPr>
            <w:r>
              <w:t xml:space="preserve">$717.20</w:t>
            </w:r>
          </w:p>
        </w:tc>
        <w:tc>
          <w:tcPr/>
          <w:p>
            <w:pPr>
              <w:pStyle w:val="Compact"/>
            </w:pPr>
            <w:r>
              <w:t xml:space="preserve">-8.0%</w:t>
            </w:r>
          </w:p>
        </w:tc>
      </w:tr>
      <w:tr>
        <w:tc>
          <w:tcPr/>
          <w:p>
            <w:pPr>
              <w:pStyle w:val="Compact"/>
            </w:pPr>
            <w:r>
              <w:t xml:space="preserve">4Q</w:t>
            </w:r>
          </w:p>
        </w:tc>
        <w:tc>
          <w:tcPr/>
          <w:p>
            <w:pPr>
              <w:pStyle w:val="Compact"/>
            </w:pPr>
            <w:r>
              <w:t xml:space="preserve">Bull</w:t>
            </w:r>
          </w:p>
        </w:tc>
        <w:tc>
          <w:tcPr/>
          <w:p>
            <w:pPr>
              <w:pStyle w:val="Compact"/>
            </w:pPr>
            <w:r>
              <w:t xml:space="preserve">$1,121.35</w:t>
            </w:r>
          </w:p>
        </w:tc>
        <w:tc>
          <w:tcPr/>
          <w:p>
            <w:pPr>
              <w:pStyle w:val="Compact"/>
            </w:pPr>
            <w:r>
              <w:t xml:space="preserve">43.9%</w:t>
            </w:r>
          </w:p>
        </w:tc>
      </w:tr>
      <w:tr>
        <w:tc>
          <w:tcPr/>
          <w:p>
            <w:pPr>
              <w:pStyle w:val="Compact"/>
            </w:pPr>
            <w:r>
              <w:t xml:space="preserve">6Q</w:t>
            </w:r>
          </w:p>
        </w:tc>
        <w:tc>
          <w:tcPr/>
          <w:p>
            <w:pPr>
              <w:pStyle w:val="Compact"/>
            </w:pPr>
            <w:r>
              <w:t xml:space="preserve">Bear</w:t>
            </w:r>
          </w:p>
        </w:tc>
        <w:tc>
          <w:tcPr/>
          <w:p>
            <w:pPr>
              <w:pStyle w:val="Compact"/>
            </w:pPr>
            <w:r>
              <w:t xml:space="preserve">$342.03</w:t>
            </w:r>
          </w:p>
        </w:tc>
        <w:tc>
          <w:tcPr/>
          <w:p>
            <w:pPr>
              <w:pStyle w:val="Compact"/>
            </w:pPr>
            <w:r>
              <w:t xml:space="preserve">-56.1%</w:t>
            </w:r>
          </w:p>
        </w:tc>
      </w:tr>
      <w:tr>
        <w:tc>
          <w:tcPr/>
          <w:p>
            <w:pPr>
              <w:pStyle w:val="Compact"/>
            </w:pPr>
            <w:r>
              <w:t xml:space="preserve">6Q</w:t>
            </w:r>
          </w:p>
        </w:tc>
        <w:tc>
          <w:tcPr/>
          <w:p>
            <w:pPr>
              <w:pStyle w:val="Compact"/>
            </w:pPr>
            <w:r>
              <w:t xml:space="preserve">Base</w:t>
            </w:r>
          </w:p>
        </w:tc>
        <w:tc>
          <w:tcPr/>
          <w:p>
            <w:pPr>
              <w:pStyle w:val="Compact"/>
            </w:pPr>
            <w:r>
              <w:t xml:space="preserve">$710.37</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$1,143.96</w:t>
            </w:r>
          </w:p>
        </w:tc>
        <w:tc>
          <w:tcPr/>
          <w:p>
            <w:pPr>
              <w:pStyle w:val="Compact"/>
            </w:pPr>
            <w:r>
              <w:t xml:space="preserve">46.8%</w:t>
            </w:r>
          </w:p>
        </w:tc>
      </w:tr>
      <w:tr>
        <w:tc>
          <w:tcPr/>
          <w:p>
            <w:pPr>
              <w:pStyle w:val="Compact"/>
            </w:pPr>
            <w:r>
              <w:t xml:space="preserve">8Q</w:t>
            </w:r>
          </w:p>
        </w:tc>
        <w:tc>
          <w:tcPr/>
          <w:p>
            <w:pPr>
              <w:pStyle w:val="Compact"/>
            </w:pPr>
            <w:r>
              <w:t xml:space="preserve">Bear</w:t>
            </w:r>
          </w:p>
        </w:tc>
        <w:tc>
          <w:tcPr/>
          <w:p>
            <w:pPr>
              <w:pStyle w:val="Compact"/>
            </w:pPr>
            <w:r>
              <w:t xml:space="preserve">$322.41</w:t>
            </w:r>
          </w:p>
        </w:tc>
        <w:tc>
          <w:tcPr/>
          <w:p>
            <w:pPr>
              <w:pStyle w:val="Compact"/>
            </w:pPr>
            <w:r>
              <w:t xml:space="preserve">-58.6%</w:t>
            </w:r>
          </w:p>
        </w:tc>
      </w:tr>
      <w:tr>
        <w:tc>
          <w:tcPr/>
          <w:p>
            <w:pPr>
              <w:pStyle w:val="Compact"/>
            </w:pPr>
            <w:r>
              <w:t xml:space="preserve">8Q</w:t>
            </w:r>
          </w:p>
        </w:tc>
        <w:tc>
          <w:tcPr/>
          <w:p>
            <w:pPr>
              <w:pStyle w:val="Compact"/>
            </w:pPr>
            <w:r>
              <w:t xml:space="preserve">Base</w:t>
            </w:r>
          </w:p>
        </w:tc>
        <w:tc>
          <w:tcPr/>
          <w:p>
            <w:pPr>
              <w:pStyle w:val="Compact"/>
            </w:pPr>
            <w:r>
              <w:t xml:space="preserve">$703.60</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$1,166.98</w:t>
            </w:r>
          </w:p>
        </w:tc>
        <w:tc>
          <w:tcPr/>
          <w:p>
            <w:pPr>
              <w:pStyle w:val="Compact"/>
            </w:pPr>
            <w:r>
              <w:t xml:space="preserve">49.8%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25.6x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23.5x</w:t>
            </w:r>
          </w:p>
        </w:tc>
      </w:tr>
      <w:tr>
        <w:tc>
          <w:tcPr/>
          <w:p>
            <w:pPr>
              <w:pStyle w:val="Compact"/>
            </w:pPr>
            <w:r>
              <w:t xml:space="preserve">8Q</w:t>
            </w:r>
          </w:p>
        </w:tc>
        <w:tc>
          <w:tcPr/>
          <w:p>
            <w:pPr>
              <w:pStyle w:val="Compact"/>
            </w:pPr>
            <w:r>
              <w:t xml:space="preserve">22.5x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4.9%</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$264.66</w:t>
            </w:r>
          </w:p>
        </w:tc>
        <w:tc>
          <w:tcPr/>
          <w:p>
            <w:pPr>
              <w:pStyle w:val="Compact"/>
            </w:pPr>
            <w:r>
              <w:t xml:space="preserve">-66.0%</w:t>
            </w:r>
          </w:p>
        </w:tc>
      </w:tr>
      <w:tr>
        <w:tc>
          <w:tcPr/>
          <w:p>
            <w:pPr>
              <w:pStyle w:val="Compact"/>
            </w:pPr>
            <w:r>
              <w:t xml:space="preserve">Base</w:t>
            </w:r>
          </w:p>
        </w:tc>
        <w:tc>
          <w:tcPr/>
          <w:p>
            <w:pPr>
              <w:pStyle w:val="Compact"/>
            </w:pPr>
            <w:r>
              <w:t xml:space="preserve">9.9%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$449.79</w:t>
            </w:r>
          </w:p>
        </w:tc>
        <w:tc>
          <w:tcPr/>
          <w:p>
            <w:pPr>
              <w:pStyle w:val="Compact"/>
            </w:pPr>
            <w:r>
              <w:t xml:space="preserve">-42.3%</w:t>
            </w:r>
          </w:p>
        </w:tc>
      </w:tr>
      <w:tr>
        <w:tc>
          <w:tcPr/>
          <w:p>
            <w:pPr>
              <w:pStyle w:val="Compact"/>
            </w:pPr>
            <w:r>
              <w:t xml:space="preserve">Bull</w:t>
            </w:r>
          </w:p>
        </w:tc>
        <w:tc>
          <w:tcPr/>
          <w:p>
            <w:pPr>
              <w:pStyle w:val="Compact"/>
            </w:pPr>
            <w:r>
              <w:t xml:space="preserve">12.8%</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$647.67</w:t>
            </w:r>
          </w:p>
        </w:tc>
        <w:tc>
          <w:tcPr/>
          <w:p>
            <w:pPr>
              <w:pStyle w:val="Compact"/>
            </w:pPr>
            <w:r>
              <w:t xml:space="preserve">-16.9%</w:t>
            </w:r>
          </w:p>
        </w:tc>
      </w:tr>
    </w:tbl>
    <w:p>
      <w:pPr>
        <w:pStyle w:val="BodyText"/>
      </w:pPr>
      <w:r>
        <w:t xml:space="preserve">Probability-weighted value</w:t>
      </w:r>
      <w:r>
        <w:t xml:space="preserve"> </w:t>
      </w:r>
      <w:r>
        <w:rPr>
          <w:b/>
          <w:bCs/>
        </w:rPr>
        <w:t xml:space="preserve">$452.98</w:t>
      </w:r>
      <w:r>
        <w:t xml:space="preserve"> </w:t>
      </w:r>
      <w:r>
        <w:t xml:space="preserve">(-41.9%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19.5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24.4%</w:t>
      </w:r>
      <w:r>
        <w:t xml:space="preserve"> </w:t>
      </w:r>
      <w:r>
        <w:t xml:space="preserve">vs consensus FY+1 9.9%.</w:t>
      </w:r>
    </w:p>
    <w:p>
      <w:pPr>
        <w:pStyle w:val="Compact"/>
        <w:numPr>
          <w:ilvl w:val="0"/>
          <w:numId w:val="1013"/>
        </w:numPr>
      </w:pPr>
      <w:r>
        <w:t xml:space="preserve">WACC (CAPM) = rf 5.2% + β 1.12 × ERP 5.0% = 10.8%.</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2026-10-13T10:14:20Z</dcterms:created>
  <dcterms:modified xsi:type="dcterms:W3CDTF">2026-10-13T10:14:20Z</dcterms:modified>
</cp:coreProperties>
</file>

<file path=docProps/custom.xml><?xml version="1.0" encoding="utf-8"?>
<Properties xmlns="http://schemas.openxmlformats.org/officeDocument/2006/custom-properties" xmlns:vt="http://schemas.openxmlformats.org/officeDocument/2006/docPropsVTypes"/>
</file>