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383e16e19a4f7a7dc434852d1e47bfd7ccde04e"/>
    <w:p>
      <w:pPr>
        <w:pStyle w:val="Heading1"/>
      </w:pPr>
      <w:r>
        <w:t xml:space="preserve">INTC Intel Corporation — </w:t>
      </w:r>
      <w:r>
        <w:rPr>
          <w:rFonts w:hint="eastAsia"/>
        </w:rPr>
        <w:t xml:space="preserve">个股深度研究</w:t>
      </w:r>
      <w:r>
        <w:t xml:space="preserve"> </w:t>
      </w:r>
      <w:r>
        <w:rPr>
          <w:rFonts w:hint="eastAsia"/>
        </w:rPr>
        <w:t xml:space="preserve">(专业中文版)</w:t>
      </w:r>
      <w:r>
        <w:t xml:space="preserve"> v20261013-1622</w:t>
      </w:r>
    </w:p>
    <w:p>
      <w:pPr>
        <w:pStyle w:val="BlockText"/>
      </w:pPr>
      <w:r>
        <w:rPr>
          <w:rFonts w:hint="eastAsia"/>
        </w:rPr>
        <w:t xml:space="preserve">数据截至</w:t>
      </w:r>
      <w:r>
        <w:t xml:space="preserve"> 2026-10-13 16:22 </w:t>
      </w:r>
      <w:r>
        <w:rPr>
          <w:rFonts w:hint="eastAsia"/>
        </w:rPr>
        <w:t xml:space="preserve">SGT｜价格</w:t>
      </w:r>
      <w:r>
        <w:t xml:space="preserve"> </w:t>
      </w:r>
      <w:r>
        <w:rPr>
          <w:rFonts w:hint="eastAsia"/>
        </w:rPr>
        <w:t xml:space="preserve">$101.35｜市值</w:t>
      </w:r>
      <w:r>
        <w:t xml:space="preserve"> 535.7 bn </w:t>
      </w:r>
      <w:r>
        <w:rPr>
          <w:rFonts w:hint="eastAsia"/>
        </w:rPr>
        <w:t xml:space="preserve">USD｜财报货币</w:t>
      </w:r>
      <w:r>
        <w:t xml:space="preserve"> </w:t>
      </w:r>
      <w:r>
        <w:rPr>
          <w:rFonts w:hint="eastAsia"/>
        </w:rPr>
        <w:t xml:space="preserve">USD｜非投资建议。事实=CONFIRMED/DATA；推断=INFERENCE；假设=ASSUMPTION/HYPOTHESIS。</w:t>
      </w:r>
    </w:p>
    <w:bookmarkStart w:id="9" w:name="投资论点-investment-thesis-hypothesis"/>
    <w:p>
      <w:pPr>
        <w:pStyle w:val="Heading2"/>
      </w:pPr>
      <w:r>
        <w:t xml:space="preserve">1. </w:t>
      </w:r>
      <w:r>
        <w:rPr>
          <w:rFonts w:hint="eastAsia"/>
        </w:rPr>
        <w:t xml:space="preserve">投资论点</w:t>
      </w:r>
      <w:r>
        <w:t xml:space="preserve"> Investment Thesis (HYPOTHESIS)</w:t>
      </w:r>
    </w:p>
    <w:p>
      <w:pPr>
        <w:pStyle w:val="FirstParagraph"/>
      </w:pPr>
      <w:r>
        <w:rPr>
          <w:rFonts w:hint="eastAsia"/>
        </w:rPr>
        <w:t xml:space="preserve">英特尔是政府+NVDA+软银入股支撑的转型故事；价值取决于代工能否获得外部大客户与CPU份额止血，属于高不确定性的期权型标的。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多头驱动</w:t>
      </w:r>
      <w:r>
        <w:t xml:space="preserve">: 14A external anchor customer; server CPU demand from agentic AI; margin </w:t>
      </w:r>
      <w:r>
        <w:rPr>
          <w:rFonts w:hint="eastAsia"/>
        </w:rPr>
        <w:t xml:space="preserve">recovery｜14A外部大客户；Agent</w:t>
      </w:r>
      <w:r>
        <w:t xml:space="preserve"> </w:t>
      </w:r>
      <w:r>
        <w:rPr>
          <w:rFonts w:hint="eastAsia"/>
        </w:rPr>
        <w:t xml:space="preserve">AI拉动服务器CPU；毛利修复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空头驱动</w:t>
      </w:r>
      <w:r>
        <w:t xml:space="preserve">: Foundry losses persist; share loss to AMD/ARM; </w:t>
      </w:r>
      <w:r>
        <w:rPr>
          <w:rFonts w:hint="eastAsia"/>
        </w:rPr>
        <w:t xml:space="preserve">dilution｜代工持续亏损；份额流失；股权稀释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证伪条件</w:t>
      </w:r>
      <w:r>
        <w:rPr>
          <w:b/>
          <w:bCs/>
        </w:rPr>
        <w:t xml:space="preserve"> Falsifiers</w:t>
      </w:r>
      <w:r>
        <w:t xml:space="preserve">: No major external 14A commitment; foundry operating loss not narrowing; GM </w:t>
      </w:r>
      <w:r>
        <w:rPr>
          <w:rFonts w:hint="eastAsia"/>
        </w:rPr>
        <w:t xml:space="preserve">&lt;40%｜无14A外部承诺；代工亏损不收窄；毛利率&lt;40%</w:t>
      </w:r>
    </w:p>
    <w:bookmarkEnd w:id="9"/>
    <w:bookmarkStart w:id="10" w:name="产品客户与收入模式"/>
    <w:p>
      <w:pPr>
        <w:pStyle w:val="Heading2"/>
      </w:pPr>
      <w:r>
        <w:t xml:space="preserve">2. </w:t>
      </w:r>
      <w:r>
        <w:rPr>
          <w:rFonts w:hint="eastAsia"/>
        </w:rPr>
        <w:t xml:space="preserve">产品、客户与收入模式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主题</w:t>
      </w:r>
      <w:r>
        <w:t xml:space="preserve"> Theme: x86 CPU + foundry turnaround </w:t>
      </w:r>
      <w:r>
        <w:rPr>
          <w:rFonts w:hint="eastAsia"/>
        </w:rPr>
        <w:t xml:space="preserve">x86+代工转型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业务分部</w:t>
      </w:r>
      <w:r>
        <w:t xml:space="preserve"> Segments: Client computing </w:t>
      </w:r>
      <w:r>
        <w:rPr>
          <w:rFonts w:hint="eastAsia"/>
        </w:rPr>
        <w:t xml:space="preserve">客户端；Data</w:t>
      </w:r>
      <w:r>
        <w:t xml:space="preserve"> center &amp; AI </w:t>
      </w:r>
      <w:r>
        <w:rPr>
          <w:rFonts w:hint="eastAsia"/>
        </w:rPr>
        <w:t xml:space="preserve">数据中心；Intel</w:t>
      </w:r>
      <w:r>
        <w:t xml:space="preserve"> Foundry </w:t>
      </w:r>
      <w:r>
        <w:rPr>
          <w:rFonts w:hint="eastAsia"/>
        </w:rPr>
        <w:t xml:space="preserve">代工；Altera/Mobileye/other</w:t>
      </w:r>
      <w:r>
        <w:t xml:space="preserve"> </w:t>
      </w:r>
      <w:r>
        <w:rPr>
          <w:rFonts w:hint="eastAsia"/>
        </w:rPr>
        <w:t xml:space="preserve">其他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公司描述</w:t>
      </w:r>
      <w:r>
        <w:t xml:space="preserve"> (DATA, </w:t>
      </w:r>
      <w:r>
        <w:rPr>
          <w:rFonts w:hint="eastAsia"/>
        </w:rPr>
        <w:t xml:space="preserve">Yahoo/公司申报):</w:t>
      </w:r>
      <w:r>
        <w:t xml:space="preserve"> Intel Corporation designs, develops, manufactures, markets, sells, and services computing and related end products and services in the United States, Ireland, Israel, and internationally. It operates through three segments: CCG, DCAI, and Intel Foundry. The company offers client computing group products, including client and commercial CPUs, discrete client GPUs, edge computing, and connectivity products; data center and AI products, such as server CPUs, discrete GPUs, and networking products; and semiconductors comprising wafer fabrication, substrates, and other related products and services. It also provides driving assistance and self-driving solutions; and develops and manufactures multi-beam mask writing tools. The company sells its products through sales organizations, distributors, resellers, retailers, and OEM partners. It serves original equipment manufacturers, original design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主要客户:</w:t>
      </w:r>
      <w:r>
        <w:t xml:space="preserve"> PC OEMs, cloud/enterprise servers, US government (CHIPS), foundry prospects (NVDA investment, </w:t>
      </w:r>
      <w:r>
        <w:rPr>
          <w:rFonts w:hint="eastAsia"/>
        </w:rPr>
        <w:t xml:space="preserve">others)｜PC厂、服务器、美国政府、潜在代工客户</w:t>
      </w:r>
    </w:p>
    <w:bookmarkEnd w:id="10"/>
    <w:bookmarkStart w:id="11" w:name="行业竞争监管与供应链-analyst-framework"/>
    <w:p>
      <w:pPr>
        <w:pStyle w:val="Heading2"/>
      </w:pPr>
      <w:r>
        <w:t xml:space="preserve">3. </w:t>
      </w:r>
      <w:r>
        <w:rPr>
          <w:rFonts w:hint="eastAsia"/>
        </w:rPr>
        <w:t xml:space="preserve">行业、竞争、监管与供应链</w:t>
      </w:r>
      <w:r>
        <w:t xml:space="preserve"> (ANALYST FRAMEWORK)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供应商/上游:</w:t>
      </w:r>
      <w:r>
        <w:t xml:space="preserve"> ASML (High-NA EUV), equipment, TSMC (outsourced </w:t>
      </w:r>
      <w:r>
        <w:rPr>
          <w:rFonts w:hint="eastAsia"/>
        </w:rPr>
        <w:t xml:space="preserve">tiles)｜ASML、设备商、台积电(外包)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竞争者</w:t>
      </w:r>
      <w:r>
        <w:t xml:space="preserve"> </w:t>
      </w:r>
      <w:r>
        <w:rPr>
          <w:rFonts w:hint="eastAsia"/>
        </w:rPr>
        <w:t xml:space="preserve">(含业外):</w:t>
      </w:r>
      <w:r>
        <w:t xml:space="preserve"> AMD, ARM-based CPUs, TSMC/Samsung in </w:t>
      </w:r>
      <w:r>
        <w:rPr>
          <w:rFonts w:hint="eastAsia"/>
        </w:rPr>
        <w:t xml:space="preserve">foundry｜AMD、ARM</w:t>
      </w:r>
      <w:r>
        <w:t xml:space="preserve"> </w:t>
      </w:r>
      <w:r>
        <w:rPr>
          <w:rFonts w:hint="eastAsia"/>
        </w:rPr>
        <w:t xml:space="preserve">CPU、台积电/三星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瓶颈/监管:</w:t>
      </w:r>
      <w:r>
        <w:t xml:space="preserve"> 18A/14A yield &amp; external customers, capex funding, </w:t>
      </w:r>
      <w:r>
        <w:rPr>
          <w:rFonts w:hint="eastAsia"/>
        </w:rPr>
        <w:t xml:space="preserve">execution｜18A/14A良率与外部客户、资本开支资金、执行力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关键KPI:</w:t>
      </w:r>
      <w:r>
        <w:t xml:space="preserve"> GM%, foundry op loss, 18A yield commentary, DCAI revenue, </w:t>
      </w:r>
      <w:r>
        <w:rPr>
          <w:rFonts w:hint="eastAsia"/>
        </w:rPr>
        <w:t xml:space="preserve">capex｜毛利率、代工亏损、18A良率、DCAI收入、Capex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零部件现货/合约价:</w:t>
      </w:r>
      <w:r>
        <w:t xml:space="preserve"> </w:t>
      </w:r>
      <w:r>
        <w:rPr>
          <w:rFonts w:hint="eastAsia"/>
        </w:rPr>
        <w:t xml:space="preserve">本版未接入付费价格源(TrendForce/DRAMeXchange等)——标注</w:t>
      </w:r>
      <w:r>
        <w:t xml:space="preserve"> </w:t>
      </w:r>
      <w:r>
        <w:rPr>
          <w:b/>
          <w:bCs/>
        </w:rPr>
        <w:t xml:space="preserve">UNAVAILABLE</w:t>
      </w:r>
      <w:r>
        <w:rPr>
          <w:rFonts w:hint="eastAsia"/>
        </w:rPr>
        <w:t xml:space="preserve">，在KPI监控中以定性方式跟踪。</w:t>
      </w:r>
    </w:p>
    <w:bookmarkEnd w:id="11"/>
    <w:bookmarkStart w:id="12" w:name="历史财务与现金流-confirmed-季度-usd"/>
    <w:p>
      <w:pPr>
        <w:pStyle w:val="Heading2"/>
      </w:pPr>
      <w:r>
        <w:t xml:space="preserve">4. </w:t>
      </w:r>
      <w:r>
        <w:rPr>
          <w:rFonts w:hint="eastAsia"/>
        </w:rPr>
        <w:t xml:space="preserve">历史财务与现金流</w:t>
      </w:r>
      <w:r>
        <w:t xml:space="preserve"> (CONFIRMED, </w:t>
      </w:r>
      <w:r>
        <w:rPr>
          <w:rFonts w:hint="eastAsia"/>
        </w:rPr>
        <w:t xml:space="preserve">季度,</w:t>
      </w:r>
      <w:r>
        <w:t xml:space="preserve"> USD)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营业利润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净利润</w:t>
            </w:r>
          </w:p>
        </w:tc>
        <w:tc>
          <w:tcPr/>
          <w:p>
            <w:pPr>
              <w:pStyle w:val="Compact"/>
            </w:pPr>
            <w:r>
              <w:t xml:space="preserve">FCF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营业利润率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16.1 bn USD</w:t>
            </w:r>
          </w:p>
        </w:tc>
        <w:tc>
          <w:tcPr/>
          <w:p>
            <w:pPr>
              <w:pStyle w:val="Compact"/>
            </w:pPr>
            <w:r>
              <w:t xml:space="preserve">6.5 bn USD</w:t>
            </w:r>
          </w:p>
        </w:tc>
        <w:tc>
          <w:tcPr/>
          <w:p>
            <w:pPr>
              <w:pStyle w:val="Compact"/>
            </w:pPr>
            <w:r>
              <w:t xml:space="preserve">2.0 bn USD</w:t>
            </w:r>
          </w:p>
        </w:tc>
        <w:tc>
          <w:tcPr/>
          <w:p>
            <w:pPr>
              <w:pStyle w:val="Compact"/>
            </w:pPr>
            <w:r>
              <w:t xml:space="preserve">-11.0 bn USD</w:t>
            </w:r>
          </w:p>
        </w:tc>
        <w:tc>
          <w:tcPr/>
          <w:p>
            <w:pPr>
              <w:pStyle w:val="Compact"/>
            </w:pPr>
            <w:r>
              <w:t xml:space="preserve">4.5 bn USD</w:t>
            </w:r>
          </w:p>
        </w:tc>
        <w:tc>
          <w:tcPr/>
          <w:p>
            <w:pPr>
              <w:pStyle w:val="Compact"/>
            </w:pPr>
            <w:r>
              <w:t xml:space="preserve">12.2%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13.6 bn USD</w:t>
            </w:r>
          </w:p>
        </w:tc>
        <w:tc>
          <w:tcPr/>
          <w:p>
            <w:pPr>
              <w:pStyle w:val="Compact"/>
            </w:pPr>
            <w:r>
              <w:t xml:space="preserve">5.3 bn USD</w:t>
            </w:r>
          </w:p>
        </w:tc>
        <w:tc>
          <w:tcPr/>
          <w:p>
            <w:pPr>
              <w:pStyle w:val="Compact"/>
            </w:pPr>
            <w:r>
              <w:t xml:space="preserve">0.9 bn USD</w:t>
            </w:r>
          </w:p>
        </w:tc>
        <w:tc>
          <w:tcPr/>
          <w:p>
            <w:pPr>
              <w:pStyle w:val="Compact"/>
            </w:pPr>
            <w:r>
              <w:t xml:space="preserve">-3.7 bn USD</w:t>
            </w:r>
          </w:p>
        </w:tc>
        <w:tc>
          <w:tcPr/>
          <w:p>
            <w:pPr>
              <w:pStyle w:val="Compact"/>
            </w:pPr>
            <w:r>
              <w:t xml:space="preserve">-2.5 bn USD</w:t>
            </w:r>
          </w:p>
        </w:tc>
        <w:tc>
          <w:tcPr/>
          <w:p>
            <w:pPr>
              <w:pStyle w:val="Compact"/>
            </w:pPr>
            <w:r>
              <w:t xml:space="preserve">6.9%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13.7 bn USD</w:t>
            </w:r>
          </w:p>
        </w:tc>
        <w:tc>
          <w:tcPr/>
          <w:p>
            <w:pPr>
              <w:pStyle w:val="Compact"/>
            </w:pPr>
            <w:r>
              <w:t xml:space="preserve">4.9 bn USD</w:t>
            </w:r>
          </w:p>
        </w:tc>
        <w:tc>
          <w:tcPr/>
          <w:p>
            <w:pPr>
              <w:pStyle w:val="Compact"/>
            </w:pPr>
            <w:r>
              <w:t xml:space="preserve">0.6 bn USD</w:t>
            </w:r>
          </w:p>
        </w:tc>
        <w:tc>
          <w:tcPr/>
          <w:p>
            <w:pPr>
              <w:pStyle w:val="Compact"/>
            </w:pPr>
            <w:r>
              <w:t xml:space="preserve">-0.6 bn USD</w:t>
            </w:r>
          </w:p>
        </w:tc>
        <w:tc>
          <w:tcPr/>
          <w:p>
            <w:pPr>
              <w:pStyle w:val="Compact"/>
            </w:pPr>
            <w:r>
              <w:t xml:space="preserve">0.8 bn USD</w:t>
            </w:r>
          </w:p>
        </w:tc>
        <w:tc>
          <w:tcPr/>
          <w:p>
            <w:pPr>
              <w:pStyle w:val="Compact"/>
            </w:pPr>
            <w:r>
              <w:t xml:space="preserve">4.0%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13.7 bn USD</w:t>
            </w:r>
          </w:p>
        </w:tc>
        <w:tc>
          <w:tcPr/>
          <w:p>
            <w:pPr>
              <w:pStyle w:val="Compact"/>
            </w:pPr>
            <w:r>
              <w:t xml:space="preserve">5.2 bn USD</w:t>
            </w:r>
          </w:p>
        </w:tc>
        <w:tc>
          <w:tcPr/>
          <w:p>
            <w:pPr>
              <w:pStyle w:val="Compact"/>
            </w:pPr>
            <w:r>
              <w:t xml:space="preserve">0.9 bn USD</w:t>
            </w:r>
          </w:p>
        </w:tc>
        <w:tc>
          <w:tcPr/>
          <w:p>
            <w:pPr>
              <w:pStyle w:val="Compact"/>
            </w:pPr>
            <w:r>
              <w:t xml:space="preserve">4.1 bn USD</w:t>
            </w:r>
          </w:p>
        </w:tc>
        <w:tc>
          <w:tcPr/>
          <w:p>
            <w:pPr>
              <w:pStyle w:val="Compact"/>
            </w:pPr>
            <w:r>
              <w:t xml:space="preserve">0.1 bn USD</w:t>
            </w:r>
          </w:p>
        </w:tc>
        <w:tc>
          <w:tcPr/>
          <w:p>
            <w:pPr>
              <w:pStyle w:val="Compact"/>
            </w:pPr>
            <w:r>
              <w:t xml:space="preserve">6.3%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2025-06-30</w:t>
            </w:r>
          </w:p>
        </w:tc>
        <w:tc>
          <w:tcPr/>
          <w:p>
            <w:pPr>
              <w:pStyle w:val="Compact"/>
            </w:pPr>
            <w:r>
              <w:t xml:space="preserve">12.9 bn USD</w:t>
            </w:r>
          </w:p>
        </w:tc>
        <w:tc>
          <w:tcPr/>
          <w:p>
            <w:pPr>
              <w:pStyle w:val="Compact"/>
            </w:pPr>
            <w:r>
              <w:t xml:space="preserve">3.5 bn USD</w:t>
            </w:r>
          </w:p>
        </w:tc>
        <w:tc>
          <w:tcPr/>
          <w:p>
            <w:pPr>
              <w:pStyle w:val="Compact"/>
            </w:pPr>
            <w:r>
              <w:t xml:space="preserve">-1.3 bn USD</w:t>
            </w:r>
          </w:p>
        </w:tc>
        <w:tc>
          <w:tcPr/>
          <w:p>
            <w:pPr>
              <w:pStyle w:val="Compact"/>
            </w:pPr>
            <w:r>
              <w:t xml:space="preserve">-2.9 bn USD</w:t>
            </w:r>
          </w:p>
        </w:tc>
        <w:tc>
          <w:tcPr/>
          <w:p>
            <w:pPr>
              <w:pStyle w:val="Compact"/>
            </w:pPr>
            <w:r>
              <w:t xml:space="preserve">-1.5 bn USD</w:t>
            </w:r>
          </w:p>
        </w:tc>
        <w:tc>
          <w:tcPr/>
          <w:p>
            <w:pPr>
              <w:pStyle w:val="Compact"/>
            </w:pPr>
            <w:r>
              <w:t xml:space="preserve">-10.0%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资产负债:</w:t>
      </w:r>
      <w:r>
        <w:t xml:space="preserve"> </w:t>
      </w:r>
      <w:r>
        <w:rPr>
          <w:rFonts w:hint="eastAsia"/>
        </w:rPr>
        <w:t xml:space="preserve">现金</w:t>
      </w:r>
      <w:r>
        <w:t xml:space="preserve"> 29.7 bn </w:t>
      </w:r>
      <w:r>
        <w:rPr>
          <w:rFonts w:hint="eastAsia"/>
        </w:rPr>
        <w:t xml:space="preserve">USD；总负债</w:t>
      </w:r>
      <w:r>
        <w:t xml:space="preserve"> 50.5 bn </w:t>
      </w:r>
      <w:r>
        <w:rPr>
          <w:rFonts w:hint="eastAsia"/>
        </w:rPr>
        <w:t xml:space="preserve">USD；净现金</w:t>
      </w:r>
      <w:r>
        <w:t xml:space="preserve"> -20.8 bn USD。TTM FCF 2.8 bn </w:t>
      </w:r>
      <w:r>
        <w:rPr>
          <w:rFonts w:hint="eastAsia"/>
        </w:rPr>
        <w:t xml:space="preserve">USD（FCF率</w:t>
      </w:r>
      <w:r>
        <w:t xml:space="preserve"> </w:t>
      </w:r>
      <w:r>
        <w:rPr>
          <w:rFonts w:hint="eastAsia"/>
        </w:rPr>
        <w:t xml:space="preserve">5.0%）。</w:t>
      </w:r>
    </w:p>
    <w:bookmarkEnd w:id="12"/>
    <w:bookmarkStart w:id="13" w:name="最新财报-实际-vs-一致预期-vs-指引"/>
    <w:p>
      <w:pPr>
        <w:pStyle w:val="Heading2"/>
      </w:pPr>
      <w:r>
        <w:t xml:space="preserve">5. </w:t>
      </w:r>
      <w:r>
        <w:rPr>
          <w:rFonts w:hint="eastAsia"/>
        </w:rPr>
        <w:t xml:space="preserve">最新财报:</w:t>
      </w:r>
      <w:r>
        <w:t xml:space="preserve"> </w:t>
      </w:r>
      <w:r>
        <w:rPr>
          <w:rFonts w:hint="eastAsia"/>
        </w:rPr>
        <w:t xml:space="preserve">实际</w:t>
      </w:r>
      <w:r>
        <w:t xml:space="preserve"> vs </w:t>
      </w:r>
      <w:r>
        <w:rPr>
          <w:rFonts w:hint="eastAsia"/>
        </w:rPr>
        <w:t xml:space="preserve">一致预期</w:t>
      </w:r>
      <w:r>
        <w:t xml:space="preserve"> vs </w:t>
      </w:r>
      <w:r>
        <w:rPr>
          <w:rFonts w:hint="eastAsia"/>
        </w:rPr>
        <w:t xml:space="preserve">指引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EPS实际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EPS一致预期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超预期%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0.23</w:t>
            </w:r>
          </w:p>
        </w:tc>
        <w:tc>
          <w:tcPr/>
          <w:p>
            <w:pPr>
              <w:pStyle w:val="Compact"/>
            </w:pPr>
            <w:r>
              <w:t xml:space="preserve">0.00705</w:t>
            </w:r>
          </w:p>
        </w:tc>
        <w:tc>
          <w:tcPr/>
          <w:p>
            <w:pPr>
              <w:pStyle w:val="Compact"/>
            </w:pPr>
            <w:r>
              <w:t xml:space="preserve">31.6241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0.08264</w:t>
            </w:r>
          </w:p>
        </w:tc>
        <w:tc>
          <w:tcPr/>
          <w:p>
            <w:pPr>
              <w:pStyle w:val="Compact"/>
            </w:pPr>
            <w:r>
              <w:t xml:space="preserve">0.8151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0.29</w:t>
            </w:r>
          </w:p>
        </w:tc>
        <w:tc>
          <w:tcPr/>
          <w:p>
            <w:pPr>
              <w:pStyle w:val="Compact"/>
            </w:pPr>
            <w:r>
              <w:t xml:space="preserve">0.01313</w:t>
            </w:r>
          </w:p>
        </w:tc>
        <w:tc>
          <w:tcPr/>
          <w:p>
            <w:pPr>
              <w:pStyle w:val="Compact"/>
            </w:pPr>
            <w:r>
              <w:t xml:space="preserve">21.0868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0.42</w:t>
            </w:r>
          </w:p>
        </w:tc>
        <w:tc>
          <w:tcPr/>
          <w:p>
            <w:pPr>
              <w:pStyle w:val="Compact"/>
            </w:pPr>
            <w:r>
              <w:t xml:space="preserve">0.21584</w:t>
            </w:r>
          </w:p>
        </w:tc>
        <w:tc>
          <w:tcPr/>
          <w:p>
            <w:pPr>
              <w:pStyle w:val="Compact"/>
            </w:pPr>
            <w:r>
              <w:t xml:space="preserve">0.94589996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管理层指引</w:t>
      </w:r>
      <w:r>
        <w:t xml:space="preserve"> Guidance: </w:t>
      </w:r>
      <w:r>
        <w:rPr>
          <w:rFonts w:hint="eastAsia"/>
        </w:rPr>
        <w:t xml:space="preserve">自动数据源不含指引——</w:t>
      </w:r>
      <w:r>
        <w:rPr>
          <w:rFonts w:hint="eastAsia"/>
          <w:b/>
          <w:bCs/>
        </w:rPr>
        <w:t xml:space="preserve">UNAVAILABLE（待从公司IR新闻稿录入）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下次财报日</w:t>
      </w:r>
      <w:r>
        <w:t xml:space="preserve"> (Yahoo, TENTATIVE </w:t>
      </w:r>
      <w:r>
        <w:rPr>
          <w:rFonts w:hint="eastAsia"/>
        </w:rPr>
        <w:t xml:space="preserve">直至公司确认):</w:t>
      </w:r>
      <w:r>
        <w:t xml:space="preserve"> </w:t>
      </w:r>
      <w:r>
        <w:rPr>
          <w:b/>
          <w:bCs/>
        </w:rPr>
        <w:t xml:space="preserve">2026-10-30</w:t>
      </w:r>
      <w:r>
        <w:rPr>
          <w:rFonts w:hint="eastAsia"/>
        </w:rPr>
        <w:t xml:space="preserve">；本季EPS一致预期</w:t>
      </w:r>
      <w:r>
        <w:t xml:space="preserve"> </w:t>
      </w:r>
      <w:r>
        <w:rPr>
          <w:rFonts w:hint="eastAsia"/>
        </w:rPr>
        <w:t xml:space="preserve">0.39202（36位分析师）；收入一致预期</w:t>
      </w:r>
      <w:r>
        <w:t xml:space="preserve"> 16.4 bn USD。</w:t>
      </w:r>
    </w:p>
    <w:bookmarkEnd w:id="13"/>
    <w:bookmarkStart w:id="14" w:name="未来2468季度驱动与价格合理性"/>
    <w:p>
      <w:pPr>
        <w:pStyle w:val="Heading2"/>
      </w:pPr>
      <w:r>
        <w:t xml:space="preserve">6. </w:t>
      </w:r>
      <w:r>
        <w:rPr>
          <w:rFonts w:hint="eastAsia"/>
        </w:rPr>
        <w:t xml:space="preserve">未来2/4/6/8季度驱动与价格合理性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期限价格现值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相对现价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$6.22</w:t>
            </w:r>
          </w:p>
        </w:tc>
        <w:tc>
          <w:tcPr/>
          <w:p>
            <w:pPr>
              <w:pStyle w:val="Compact"/>
            </w:pPr>
            <w:r>
              <w:t xml:space="preserve">-93.9%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$16.51</w:t>
            </w:r>
          </w:p>
        </w:tc>
        <w:tc>
          <w:tcPr/>
          <w:p>
            <w:pPr>
              <w:pStyle w:val="Compact"/>
            </w:pPr>
            <w:r>
              <w:t xml:space="preserve">-83.7%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$28.41</w:t>
            </w:r>
          </w:p>
        </w:tc>
        <w:tc>
          <w:tcPr/>
          <w:p>
            <w:pPr>
              <w:pStyle w:val="Compact"/>
            </w:pPr>
            <w:r>
              <w:t xml:space="preserve">-72.0%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$6.66</w:t>
            </w:r>
          </w:p>
        </w:tc>
        <w:tc>
          <w:tcPr/>
          <w:p>
            <w:pPr>
              <w:pStyle w:val="Compact"/>
            </w:pPr>
            <w:r>
              <w:t xml:space="preserve">-93.4%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$18.47</w:t>
            </w:r>
          </w:p>
        </w:tc>
        <w:tc>
          <w:tcPr/>
          <w:p>
            <w:pPr>
              <w:pStyle w:val="Compact"/>
            </w:pPr>
            <w:r>
              <w:t xml:space="preserve">-81.8%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$32.68</w:t>
            </w:r>
          </w:p>
        </w:tc>
        <w:tc>
          <w:tcPr/>
          <w:p>
            <w:pPr>
              <w:pStyle w:val="Compact"/>
            </w:pPr>
            <w:r>
              <w:t xml:space="preserve">-67.8%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$7.06</w:t>
            </w:r>
          </w:p>
        </w:tc>
        <w:tc>
          <w:tcPr/>
          <w:p>
            <w:pPr>
              <w:pStyle w:val="Compact"/>
            </w:pPr>
            <w:r>
              <w:t xml:space="preserve">-93.0%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$20.44</w:t>
            </w:r>
          </w:p>
        </w:tc>
        <w:tc>
          <w:tcPr/>
          <w:p>
            <w:pPr>
              <w:pStyle w:val="Compact"/>
            </w:pPr>
            <w:r>
              <w:t xml:space="preserve">-79.8%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$37.15</w:t>
            </w:r>
          </w:p>
        </w:tc>
        <w:tc>
          <w:tcPr/>
          <w:p>
            <w:pPr>
              <w:pStyle w:val="Compact"/>
            </w:pPr>
            <w:r>
              <w:t xml:space="preserve">-63.3%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$7.42</w:t>
            </w:r>
          </w:p>
        </w:tc>
        <w:tc>
          <w:tcPr/>
          <w:p>
            <w:pPr>
              <w:pStyle w:val="Compact"/>
            </w:pPr>
            <w:r>
              <w:t xml:space="preserve">-92.7%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$22.42</w:t>
            </w:r>
          </w:p>
        </w:tc>
        <w:tc>
          <w:tcPr/>
          <w:p>
            <w:pPr>
              <w:pStyle w:val="Compact"/>
            </w:pPr>
            <w:r>
              <w:t xml:space="preserve">-77.9%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$41.82</w:t>
            </w:r>
          </w:p>
        </w:tc>
        <w:tc>
          <w:tcPr/>
          <w:p>
            <w:pPr>
              <w:pStyle w:val="Compact"/>
            </w:pPr>
            <w:r>
              <w:t xml:space="preserve">-58.7%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现价隐含的</w:t>
            </w:r>
            <w:r>
              <w:t xml:space="preserve"> EV/NTM-FCF (Base </w:t>
            </w:r>
            <w:r>
              <w:rPr>
                <w:rFonts w:hint="eastAsia"/>
              </w:rPr>
              <w:t xml:space="preserve">路径):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122.4x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105.9x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92.2x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80.6x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解读:</w:t>
      </w:r>
      <w:r>
        <w:t xml:space="preserve"> </w:t>
      </w:r>
      <w:r>
        <w:rPr>
          <w:rFonts w:hint="eastAsia"/>
        </w:rPr>
        <w:t xml:space="preserve">如果8季度后Base情景所需倍数仍远高于25x，说明价格依赖更远期的增长。</w:t>
      </w:r>
    </w:p>
    <w:bookmarkEnd w:id="14"/>
    <w:bookmarkStart w:id="15" w:name="三情景-bear-base-bull-hypothesis"/>
    <w:p>
      <w:pPr>
        <w:pStyle w:val="Heading2"/>
      </w:pPr>
      <w:r>
        <w:t xml:space="preserve">7. </w:t>
      </w:r>
      <w:r>
        <w:rPr>
          <w:rFonts w:hint="eastAsia"/>
        </w:rPr>
        <w:t xml:space="preserve">三情景</w:t>
      </w:r>
      <w:r>
        <w:t xml:space="preserve"> Bear / Base / Bull (HYPOTHESIS)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Y1增速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长期FCF率</w:t>
            </w:r>
          </w:p>
        </w:tc>
        <w:tc>
          <w:tcPr/>
          <w:p>
            <w:pPr>
              <w:pStyle w:val="Compact"/>
            </w:pPr>
            <w:r>
              <w:t xml:space="preserve">WACC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永续g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每股价值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相对现价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7.4%</w:t>
            </w:r>
          </w:p>
        </w:tc>
        <w:tc>
          <w:tcPr/>
          <w:p>
            <w:pPr>
              <w:pStyle w:val="Compact"/>
            </w:pPr>
            <w:r>
              <w:t xml:space="preserve">8.0%</w:t>
            </w:r>
          </w:p>
        </w:tc>
        <w:tc>
          <w:tcPr/>
          <w:p>
            <w:pPr>
              <w:pStyle w:val="Compact"/>
            </w:pPr>
            <w:r>
              <w:t xml:space="preserve">14.2%</w:t>
            </w:r>
          </w:p>
        </w:tc>
        <w:tc>
          <w:tcPr/>
          <w:p>
            <w:pPr>
              <w:pStyle w:val="Compact"/>
            </w:pPr>
            <w:r>
              <w:t xml:space="preserve">2.5%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$4.57</w:t>
            </w:r>
          </w:p>
        </w:tc>
        <w:tc>
          <w:tcPr/>
          <w:p>
            <w:pPr>
              <w:pStyle w:val="Compact"/>
            </w:pPr>
            <w:r>
              <w:t xml:space="preserve">-95.5%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14.9%</w:t>
            </w:r>
          </w:p>
        </w:tc>
        <w:tc>
          <w:tcPr/>
          <w:p>
            <w:pPr>
              <w:pStyle w:val="Compact"/>
            </w:pPr>
            <w:r>
              <w:t xml:space="preserve">10.0%</w:t>
            </w:r>
          </w:p>
        </w:tc>
        <w:tc>
          <w:tcPr/>
          <w:p>
            <w:pPr>
              <w:pStyle w:val="Compact"/>
            </w:pPr>
            <w:r>
              <w:t xml:space="preserve">13.2%</w:t>
            </w:r>
          </w:p>
        </w:tc>
        <w:tc>
          <w:tcPr/>
          <w:p>
            <w:pPr>
              <w:pStyle w:val="Compact"/>
            </w:pPr>
            <w:r>
              <w:t xml:space="preserve">3.0%</w:t>
            </w:r>
          </w:p>
        </w:tc>
        <w:tc>
          <w:tcPr/>
          <w:p>
            <w:pPr>
              <w:pStyle w:val="Compact"/>
            </w:pPr>
            <w:r>
              <w:t xml:space="preserve">50.0%</w:t>
            </w:r>
          </w:p>
        </w:tc>
        <w:tc>
          <w:tcPr/>
          <w:p>
            <w:pPr>
              <w:pStyle w:val="Compact"/>
            </w:pPr>
            <w:r>
              <w:t xml:space="preserve">$12.03</w:t>
            </w:r>
          </w:p>
        </w:tc>
        <w:tc>
          <w:tcPr/>
          <w:p>
            <w:pPr>
              <w:pStyle w:val="Compact"/>
            </w:pPr>
            <w:r>
              <w:t xml:space="preserve">-88.1%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19.4%</w:t>
            </w:r>
          </w:p>
        </w:tc>
        <w:tc>
          <w:tcPr/>
          <w:p>
            <w:pPr>
              <w:pStyle w:val="Compact"/>
            </w:pPr>
            <w:r>
              <w:t xml:space="preserve">11.5%</w:t>
            </w:r>
          </w:p>
        </w:tc>
        <w:tc>
          <w:tcPr/>
          <w:p>
            <w:pPr>
              <w:pStyle w:val="Compact"/>
            </w:pPr>
            <w:r>
              <w:t xml:space="preserve">12.7%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$20.05</w:t>
            </w:r>
          </w:p>
        </w:tc>
        <w:tc>
          <w:tcPr/>
          <w:p>
            <w:pPr>
              <w:pStyle w:val="Compact"/>
            </w:pPr>
            <w:r>
              <w:t xml:space="preserve">-80.2%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概率加权价值</w:t>
      </w:r>
      <w:r>
        <w:t xml:space="preserve"> </w:t>
      </w:r>
      <w:r>
        <w:rPr>
          <w:b/>
          <w:bCs/>
        </w:rPr>
        <w:t xml:space="preserve">$12.17</w:t>
      </w:r>
      <w:r>
        <w:rPr>
          <w:rFonts w:hint="eastAsia"/>
        </w:rPr>
        <w:t xml:space="preserve">（相对现价</w:t>
      </w:r>
      <w:r>
        <w:t xml:space="preserve"> </w:t>
      </w:r>
      <w:r>
        <w:rPr>
          <w:rFonts w:hint="eastAsia"/>
        </w:rPr>
        <w:t xml:space="preserve">-88.0%）。</w:t>
      </w:r>
    </w:p>
    <w:bookmarkEnd w:id="15"/>
    <w:bookmarkStart w:id="16" w:name="估值-dcf-reverse-dcf-roic-wacc-同业-敏感度"/>
    <w:p>
      <w:pPr>
        <w:pStyle w:val="Heading2"/>
      </w:pPr>
      <w:r>
        <w:t xml:space="preserve">8. </w:t>
      </w:r>
      <w:r>
        <w:rPr>
          <w:rFonts w:hint="eastAsia"/>
        </w:rPr>
        <w:t xml:space="preserve">估值:</w:t>
      </w:r>
      <w:r>
        <w:t xml:space="preserve"> DCF / Reverse DCF / ROIC-WACC / </w:t>
      </w:r>
      <w:r>
        <w:rPr>
          <w:rFonts w:hint="eastAsia"/>
        </w:rPr>
        <w:t xml:space="preserve">同业</w:t>
      </w:r>
      <w:r>
        <w:t xml:space="preserve"> / </w:t>
      </w:r>
      <w:r>
        <w:rPr>
          <w:rFonts w:hint="eastAsia"/>
        </w:rPr>
        <w:t xml:space="preserve">敏感度</w:t>
      </w:r>
    </w:p>
    <w:p>
      <w:pPr>
        <w:numPr>
          <w:ilvl w:val="0"/>
          <w:numId w:val="1005"/>
        </w:numPr>
      </w:pPr>
      <w:r>
        <w:t xml:space="preserve">DCF Base: EV 84.4 bn </w:t>
      </w:r>
      <w:r>
        <w:rPr>
          <w:rFonts w:hint="eastAsia"/>
        </w:rPr>
        <w:t xml:space="preserve">USD；终值占比</w:t>
      </w:r>
      <w:r>
        <w:t xml:space="preserve"> 46.1%。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Reverse DCF </w:t>
      </w:r>
      <w:r>
        <w:rPr>
          <w:rFonts w:hint="eastAsia"/>
          <w:b/>
          <w:bCs/>
        </w:rPr>
        <w:t xml:space="preserve">反向DCF</w:t>
      </w:r>
      <w:r>
        <w:t xml:space="preserve">: </w:t>
      </w:r>
      <w:r>
        <w:rPr>
          <w:rFonts w:hint="eastAsia"/>
        </w:rPr>
        <w:t xml:space="preserve">在Base利润率与WACC下，现价隐含Y1收入增速</w:t>
      </w:r>
      <w:r>
        <w:t xml:space="preserve"> ≈</w:t>
      </w:r>
      <w:r>
        <w:t xml:space="preserve"> </w:t>
      </w:r>
      <w:r>
        <w:rPr>
          <w:b/>
          <w:bCs/>
        </w:rPr>
        <w:t xml:space="preserve">68.9%</w:t>
      </w:r>
      <w:r>
        <w:rPr>
          <w:rFonts w:hint="eastAsia"/>
        </w:rPr>
        <w:t xml:space="preserve">；一致预期FY+1增速</w:t>
      </w:r>
      <w:r>
        <w:t xml:space="preserve"> 14.9%。</w:t>
      </w:r>
    </w:p>
    <w:p>
      <w:pPr>
        <w:numPr>
          <w:ilvl w:val="0"/>
          <w:numId w:val="1005"/>
        </w:numPr>
      </w:pPr>
      <w:r>
        <w:t xml:space="preserve">WACC (CAPM) = rf 5.2% + β 1.60 × ERP 5.0% = 13.2%。</w:t>
      </w:r>
    </w:p>
    <w:p>
      <w:pPr>
        <w:numPr>
          <w:ilvl w:val="0"/>
          <w:numId w:val="1005"/>
        </w:numPr>
      </w:pPr>
      <w:r>
        <w:t xml:space="preserve">SOTP segments </w:t>
      </w:r>
      <w:r>
        <w:rPr>
          <w:rFonts w:hint="eastAsia"/>
        </w:rPr>
        <w:t xml:space="preserve">分部:</w:t>
      </w:r>
      <w:r>
        <w:t xml:space="preserve"> Client computing </w:t>
      </w:r>
      <w:r>
        <w:rPr>
          <w:rFonts w:hint="eastAsia"/>
        </w:rPr>
        <w:t xml:space="preserve">客户端;</w:t>
      </w:r>
      <w:r>
        <w:t xml:space="preserve"> Data center &amp; AI </w:t>
      </w:r>
      <w:r>
        <w:rPr>
          <w:rFonts w:hint="eastAsia"/>
        </w:rPr>
        <w:t xml:space="preserve">数据中心;</w:t>
      </w:r>
      <w:r>
        <w:t xml:space="preserve"> Intel Foundry </w:t>
      </w:r>
      <w:r>
        <w:rPr>
          <w:rFonts w:hint="eastAsia"/>
        </w:rPr>
        <w:t xml:space="preserve">代工;</w:t>
      </w:r>
      <w:r>
        <w:t xml:space="preserve"> Altera/Mobileye/other </w:t>
      </w:r>
      <w:r>
        <w:rPr>
          <w:rFonts w:hint="eastAsia"/>
        </w:rPr>
        <w:t xml:space="preserve">其他.</w:t>
      </w:r>
      <w:r>
        <w:t xml:space="preserve"> </w:t>
      </w:r>
      <w:r>
        <w:rPr>
          <w:b/>
          <w:bCs/>
        </w:rPr>
        <w:t xml:space="preserve">Status: framework only</w:t>
      </w:r>
      <w:r>
        <w:t xml:space="preserve"> </w:t>
      </w:r>
      <w:r>
        <w:t xml:space="preserve">— segment revenues are INPUT REQUIRED from the latest 10-K/10-Q segment note (not auto-fed, left blank to avoid </w:t>
      </w:r>
      <w:r>
        <w:rPr>
          <w:rFonts w:hint="eastAsia"/>
        </w:rPr>
        <w:t xml:space="preserve">fabrication)｜分部收入需按最新财报手动录入，未自动填充以避免编造。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同业比较</w:t>
      </w:r>
      <w:r>
        <w:t xml:space="preserve"> Comps (DATA):</w:t>
      </w:r>
      <w:r>
        <w:t xml:space="preserve"> </w:t>
      </w:r>
      <w:r>
        <w:t xml:space="preserve">| Ticker | </w:t>
      </w:r>
      <w:r>
        <w:rPr>
          <w:rFonts w:hint="eastAsia"/>
        </w:rPr>
        <w:t xml:space="preserve">市值</w:t>
      </w:r>
      <w:r>
        <w:t xml:space="preserve"> | EV/Sales | Fwd P/E | </w:t>
      </w:r>
      <w:r>
        <w:rPr>
          <w:rFonts w:hint="eastAsia"/>
        </w:rPr>
        <w:t xml:space="preserve">收入增速</w:t>
      </w:r>
      <w:r>
        <w:t xml:space="preserve"> | </w:t>
      </w:r>
      <w:r>
        <w:rPr>
          <w:rFonts w:hint="eastAsia"/>
        </w:rPr>
        <w:t xml:space="preserve">毛利率</w:t>
      </w:r>
      <w:r>
        <w:t xml:space="preserve"> | </w:t>
      </w:r>
      <w:r>
        <w:rPr>
          <w:rFonts w:hint="eastAsia"/>
        </w:rPr>
        <w:t xml:space="preserve">FCF收益率</w:t>
      </w:r>
      <w:r>
        <w:t xml:space="preserve"> |</w:t>
      </w:r>
      <w:r>
        <w:t xml:space="preserve"> </w:t>
      </w:r>
      <w:r>
        <w:t xml:space="preserve">|—|—|—|—|—|—|—|</w:t>
      </w:r>
      <w:r>
        <w:t xml:space="preserve"> </w:t>
      </w:r>
      <w:r>
        <w:t xml:space="preserve">| INTC | 535.7 bn USD | 9.6x | 48.7x | 25.4% | 38.9% | 0.5% |</w:t>
      </w:r>
      <w:r>
        <w:t xml:space="preserve"> </w:t>
      </w:r>
      <w:r>
        <w:t xml:space="preserve">| AMD | 970.1 bn USD | 23.3x | 37.8x | 50.1% | 55.7% | 0.9% |</w:t>
      </w:r>
      <w:r>
        <w:t xml:space="preserve"> </w:t>
      </w:r>
      <w:r>
        <w:t xml:space="preserve">| TSM | 2,304.6 bn USD | 3.6x | 20.2x | 36.0% | 64.2% | 31.7% |</w:t>
      </w:r>
      <w:r>
        <w:t xml:space="preserve"> </w:t>
      </w:r>
      <w:r>
        <w:t xml:space="preserve">| ARM | 272.6 bn USD | 52.2x | 83.3x | 22.4% | 97.5% | 0.5% |</w:t>
      </w:r>
      <w:r>
        <w:t xml:space="preserve"> </w:t>
      </w:r>
      <w:r>
        <w:t xml:space="preserve">| NVDA | 5,464.9 bn USD | 17.9x | 14.2x | 105.9% | 74.7% | 0.8% |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敏感度:</w:t>
      </w:r>
      <w:r>
        <w:t xml:space="preserve"> </w:t>
      </w:r>
      <w:r>
        <w:rPr>
          <w:rFonts w:hint="eastAsia"/>
        </w:rPr>
        <w:t xml:space="preserve">见Excel</w:t>
      </w:r>
      <w:r>
        <w:t xml:space="preserve"> </w:t>
      </w:r>
      <w:r>
        <w:rPr>
          <w:rStyle w:val="VerbatimChar"/>
        </w:rPr>
        <w:t xml:space="preserve">Sensitivity</w:t>
      </w:r>
      <w:r>
        <w:t xml:space="preserve"> </w:t>
      </w:r>
      <w:r>
        <w:rPr>
          <w:rFonts w:hint="eastAsia"/>
        </w:rPr>
        <w:t xml:space="preserve">表</w:t>
      </w:r>
      <w:r>
        <w:t xml:space="preserve"> (WACC × </w:t>
      </w:r>
      <w:r>
        <w:rPr>
          <w:rFonts w:hint="eastAsia"/>
        </w:rPr>
        <w:t xml:space="preserve">永续增长率)。</w:t>
      </w:r>
    </w:p>
    <w:bookmarkEnd w:id="16"/>
    <w:bookmarkStart w:id="17" w:name="风险反方论证与证伪"/>
    <w:p>
      <w:pPr>
        <w:pStyle w:val="Heading2"/>
      </w:pPr>
      <w:r>
        <w:t xml:space="preserve">9. </w:t>
      </w:r>
      <w:r>
        <w:rPr>
          <w:rFonts w:hint="eastAsia"/>
        </w:rPr>
        <w:t xml:space="preserve">风险、反方论证与证伪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反方观点</w:t>
      </w:r>
      <w:r>
        <w:t xml:space="preserve"> Counter-thesis: Foundry losses persist; share loss to AMD/ARM; </w:t>
      </w:r>
      <w:r>
        <w:rPr>
          <w:rFonts w:hint="eastAsia"/>
        </w:rPr>
        <w:t xml:space="preserve">dilution｜代工持续亏损；份额流失；股权稀释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证伪指标:</w:t>
      </w:r>
      <w:r>
        <w:t xml:space="preserve"> No major external 14A commitment; foundry operating loss not narrowing; GM </w:t>
      </w:r>
      <w:r>
        <w:rPr>
          <w:rFonts w:hint="eastAsia"/>
        </w:rPr>
        <w:t xml:space="preserve">&lt;40%｜无14A外部承诺；代工亏损不收窄；毛利率&lt;40%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模型风险:</w:t>
      </w:r>
      <w:r>
        <w:t xml:space="preserve"> </w:t>
      </w:r>
      <w:r>
        <w:rPr>
          <w:rFonts w:hint="eastAsia"/>
        </w:rPr>
        <w:t xml:space="preserve">长期利润率与WACC为假设；终值占比高时估值对假设极敏感。</w:t>
      </w:r>
    </w:p>
    <w:bookmarkEnd w:id="17"/>
    <w:bookmarkStart w:id="18" w:name="source-ledger-来源账本"/>
    <w:p>
      <w:pPr>
        <w:pStyle w:val="Heading2"/>
      </w:pPr>
      <w:r>
        <w:t xml:space="preserve">10. Source Ledger </w:t>
      </w:r>
      <w:r>
        <w:rPr>
          <w:rFonts w:hint="eastAsia"/>
        </w:rPr>
        <w:t xml:space="preserve">来源账本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Source/time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 </w:t>
            </w:r>
            <w:r>
              <w:rPr>
                <w:rFonts w:hint="eastAsia"/>
              </w:rPr>
              <w:t xml:space="preserve">股价</w:t>
            </w:r>
          </w:p>
        </w:tc>
        <w:tc>
          <w:tcPr/>
          <w:p>
            <w:pPr>
              <w:pStyle w:val="Compact"/>
            </w:pPr>
            <w:r>
              <w:t xml:space="preserve">101.3</w:t>
            </w:r>
          </w:p>
        </w:tc>
        <w:tc>
          <w:tcPr/>
          <w:p>
            <w:pPr>
              <w:pStyle w:val="Compact"/>
            </w:pPr>
            <w:r>
              <w:t xml:space="preserve">Yahoo Finance quote, fetched 2026-10-13T16:22 SGT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 cap </w:t>
            </w:r>
            <w:r>
              <w:rPr>
                <w:rFonts w:hint="eastAsia"/>
              </w:rPr>
              <w:t xml:space="preserve">市值</w:t>
            </w:r>
          </w:p>
        </w:tc>
        <w:tc>
          <w:tcPr/>
          <w:p>
            <w:pPr>
              <w:pStyle w:val="Compact"/>
            </w:pPr>
            <w:r>
              <w:t xml:space="preserve">5.357e+11</w:t>
            </w:r>
          </w:p>
        </w:tc>
        <w:tc>
          <w:tcPr/>
          <w:p>
            <w:pPr>
              <w:pStyle w:val="Compact"/>
            </w:pPr>
            <w:r>
              <w:t xml:space="preserve">Yahoo info.marketCap 2026-10-13T16:22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Cash </w:t>
            </w:r>
            <w:r>
              <w:rPr>
                <w:rFonts w:hint="eastAsia"/>
              </w:rPr>
              <w:t xml:space="preserve">现金</w:t>
            </w:r>
          </w:p>
        </w:tc>
        <w:tc>
          <w:tcPr/>
          <w:p>
            <w:pPr>
              <w:pStyle w:val="Compact"/>
            </w:pPr>
            <w:r>
              <w:t xml:space="preserve">2.973e+10</w:t>
            </w:r>
          </w:p>
        </w:tc>
        <w:tc>
          <w:tcPr/>
          <w:p>
            <w:pPr>
              <w:pStyle w:val="Compact"/>
            </w:pPr>
            <w:r>
              <w:t xml:space="preserve">Yahoo info.totalCash (latest filing) 2026-10-13T16:22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Debt </w:t>
            </w:r>
            <w:r>
              <w:rPr>
                <w:rFonts w:hint="eastAsia"/>
              </w:rPr>
              <w:t xml:space="preserve">负债</w:t>
            </w:r>
          </w:p>
        </w:tc>
        <w:tc>
          <w:tcPr/>
          <w:p>
            <w:pPr>
              <w:pStyle w:val="Compact"/>
            </w:pPr>
            <w:r>
              <w:t xml:space="preserve">5.054e+10</w:t>
            </w:r>
          </w:p>
        </w:tc>
        <w:tc>
          <w:tcPr/>
          <w:p>
            <w:pPr>
              <w:pStyle w:val="Compact"/>
            </w:pPr>
            <w:r>
              <w:t xml:space="preserve">Yahoo info.totalDebt (latest filing) 2026-10-13T16:22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TTM </w:t>
            </w:r>
            <w:r>
              <w:rPr>
                <w:rFonts w:hint="eastAsia"/>
              </w:rPr>
              <w:t xml:space="preserve">收入</w:t>
            </w:r>
          </w:p>
        </w:tc>
        <w:tc>
          <w:tcPr/>
          <w:p>
            <w:pPr>
              <w:pStyle w:val="Compact"/>
            </w:pPr>
            <w:r>
              <w:t xml:space="preserve">5.703e+10</w:t>
            </w:r>
          </w:p>
        </w:tc>
        <w:tc>
          <w:tcPr/>
          <w:p>
            <w:pPr>
              <w:pStyle w:val="Compact"/>
            </w:pPr>
            <w:r>
              <w:t xml:space="preserve">Yahoo info.totalRevenue (TTM, USD) 2026-10-13T16:22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FCF TTM </w:t>
            </w:r>
            <w:r>
              <w:rPr>
                <w:rFonts w:hint="eastAsia"/>
              </w:rPr>
              <w:t xml:space="preserve">自由现金流</w:t>
            </w:r>
          </w:p>
        </w:tc>
        <w:tc>
          <w:tcPr/>
          <w:p>
            <w:pPr>
              <w:pStyle w:val="Compact"/>
            </w:pPr>
            <w:r>
              <w:t xml:space="preserve">2.831e+09</w:t>
            </w:r>
          </w:p>
        </w:tc>
        <w:tc>
          <w:tcPr/>
          <w:p>
            <w:pPr>
              <w:pStyle w:val="Compact"/>
            </w:pPr>
            <w:r>
              <w:t xml:space="preserve">Sum of last 4 quarterly FCF (q_cash); quarters [</w:t>
            </w:r>
            <w:r>
              <w:t xml:space="preserve">‘2026-06-30’</w:t>
            </w:r>
            <w:r>
              <w:t xml:space="preserve">,</w:t>
            </w:r>
            <w:r>
              <w:t xml:space="preserve"> </w:t>
            </w:r>
            <w:r>
              <w:t xml:space="preserve">‘2026-03-31’</w:t>
            </w:r>
            <w:r>
              <w:t xml:space="preserve">,</w:t>
            </w:r>
            <w:r>
              <w:t xml:space="preserve"> </w:t>
            </w:r>
            <w:r>
              <w:t xml:space="preserve">‘2025-12-31’</w:t>
            </w:r>
            <w:r>
              <w:t xml:space="preserve">,</w:t>
            </w:r>
            <w:r>
              <w:t xml:space="preserve"> </w:t>
            </w:r>
            <w:r>
              <w:t xml:space="preserve">‘2025-09-30’</w:t>
            </w:r>
            <w:r>
              <w:t xml:space="preserve">] (USD)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</w:t>
            </w:r>
          </w:p>
        </w:tc>
        <w:tc>
          <w:tcPr/>
          <w:p>
            <w:pPr>
              <w:pStyle w:val="Compact"/>
            </w:pPr>
            <w:r>
              <w:t xml:space="preserve">2.23</w:t>
            </w:r>
          </w:p>
        </w:tc>
        <w:tc>
          <w:tcPr/>
          <w:p>
            <w:pPr>
              <w:pStyle w:val="Compact"/>
            </w:pPr>
            <w:r>
              <w:t xml:space="preserve">Yahoo info.beta (5Y monthly)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Risk-free 10Y </w:t>
            </w:r>
            <w:r>
              <w:rPr>
                <w:rFonts w:hint="eastAsia"/>
              </w:rPr>
              <w:t xml:space="preserve">无风险利率</w:t>
            </w:r>
          </w:p>
        </w:tc>
        <w:tc>
          <w:tcPr/>
          <w:p>
            <w:pPr>
              <w:pStyle w:val="Compact"/>
            </w:pPr>
            <w:r>
              <w:t xml:space="preserve">0.0522</w:t>
            </w:r>
          </w:p>
        </w:tc>
        <w:tc>
          <w:tcPr/>
          <w:p>
            <w:pPr>
              <w:pStyle w:val="Compact"/>
            </w:pPr>
            <w:r>
              <w:t xml:space="preserve">FRED DGS10 2026-10-08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FX USD per USD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n/a (USD)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Consensus rev growth FY0</w:t>
            </w:r>
          </w:p>
        </w:tc>
        <w:tc>
          <w:tcPr/>
          <w:p>
            <w:pPr>
              <w:pStyle w:val="Compact"/>
            </w:pPr>
            <w:r>
              <w:t xml:space="preserve">0.1944</w:t>
            </w:r>
          </w:p>
        </w:tc>
        <w:tc>
          <w:tcPr/>
          <w:p>
            <w:pPr>
              <w:pStyle w:val="Compact"/>
            </w:pPr>
            <w:r>
              <w:t xml:space="preserve">Yahoo revenue_estimate 0y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Consensus rev growth FY+1</w:t>
            </w:r>
          </w:p>
        </w:tc>
        <w:tc>
          <w:tcPr/>
          <w:p>
            <w:pPr>
              <w:pStyle w:val="Compact"/>
            </w:pPr>
            <w:r>
              <w:t xml:space="preserve">0.149</w:t>
            </w:r>
          </w:p>
        </w:tc>
        <w:tc>
          <w:tcPr/>
          <w:p>
            <w:pPr>
              <w:pStyle w:val="Compact"/>
            </w:pPr>
            <w:r>
              <w:t xml:space="preserve">Yahoo revenue_estimate +1y</w:t>
            </w:r>
          </w:p>
        </w:tc>
      </w:tr>
    </w:tbl>
    <w:bookmarkEnd w:id="18"/>
    <w:bookmarkStart w:id="19" w:name="assumption-register-假设登记表"/>
    <w:p>
      <w:pPr>
        <w:pStyle w:val="Heading2"/>
      </w:pPr>
      <w:r>
        <w:t xml:space="preserve">11. Assumption Register </w:t>
      </w:r>
      <w:r>
        <w:rPr>
          <w:rFonts w:hint="eastAsia"/>
        </w:rPr>
        <w:t xml:space="preserve">假设登记表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ERP </w:t>
            </w:r>
            <w:r>
              <w:rPr>
                <w:rFonts w:hint="eastAsia"/>
              </w:rPr>
              <w:t xml:space="preserve">股权风险溢价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ASSUMPTION: 5.0% house mature-market ERP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 clamp</w:t>
            </w:r>
          </w:p>
        </w:tc>
        <w:tc>
          <w:tcPr/>
          <w:p>
            <w:pPr>
              <w:pStyle w:val="Compact"/>
            </w:pPr>
            <w:r>
              <w:t xml:space="preserve">[0.8,1.6] → 1.60</w:t>
            </w:r>
          </w:p>
        </w:tc>
        <w:tc>
          <w:tcPr/>
          <w:p>
            <w:pPr>
              <w:pStyle w:val="Compact"/>
            </w:pPr>
            <w:r>
              <w:t xml:space="preserve">ASSUMPTION: limit extreme betas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 rate (ROIC)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  <w:tc>
          <w:tcPr/>
          <w:p>
            <w:pPr>
              <w:pStyle w:val="Compact"/>
            </w:pPr>
            <w:r>
              <w:t xml:space="preserve">ASSUMPTION: blended cash tax 18%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Year-1 growth (Base)</w:t>
            </w:r>
          </w:p>
        </w:tc>
        <w:tc>
          <w:tcPr/>
          <w:p>
            <w:pPr>
              <w:pStyle w:val="Compact"/>
            </w:pPr>
            <w:r>
              <w:t xml:space="preserve">0.149</w:t>
            </w:r>
          </w:p>
        </w:tc>
        <w:tc>
          <w:tcPr/>
          <w:p>
            <w:pPr>
              <w:pStyle w:val="Compact"/>
            </w:pPr>
            <w:r>
              <w:t xml:space="preserve">Consensus FY+1 revenue growth (Yahoo revenue_estimate</w:t>
            </w:r>
            <w:r>
              <w:t xml:space="preserve"> </w:t>
            </w:r>
            <w:r>
              <w:t xml:space="preserve">‘+1y’</w:t>
            </w:r>
            <w:r>
              <w:t xml:space="preserve">); capped at 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Growth fade</w:t>
            </w:r>
          </w:p>
        </w:tc>
        <w:tc>
          <w:tcPr/>
          <w:p>
            <w:pPr>
              <w:pStyle w:val="Compact"/>
            </w:pPr>
            <w:r>
              <w:t xml:space="preserve">linear Y1→terminal by Y10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Starting FCF margin</w:t>
            </w:r>
          </w:p>
        </w:tc>
        <w:tc>
          <w:tcPr/>
          <w:p>
            <w:pPr>
              <w:pStyle w:val="Compact"/>
            </w:pPr>
            <w:r>
              <w:t xml:space="preserve">0.04964</w:t>
            </w:r>
          </w:p>
        </w:tc>
        <w:tc>
          <w:tcPr/>
          <w:p>
            <w:pPr>
              <w:pStyle w:val="Compact"/>
            </w:pPr>
            <w:r>
              <w:t xml:space="preserve">DATA: FCF TTM / Revenue TTM, floored -50%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Long-run FCF margin (Base)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ASSUMPTION (analyst framework, reached by Y5; see profile)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Bear/Bull Y1 growth multiplier</w:t>
            </w:r>
          </w:p>
        </w:tc>
        <w:tc>
          <w:tcPr/>
          <w:p>
            <w:pPr>
              <w:pStyle w:val="Compact"/>
            </w:pPr>
            <w:r>
              <w:t xml:space="preserve">0.5x / 1.3x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Bear/Bull margin multiplier</w:t>
            </w:r>
          </w:p>
        </w:tc>
        <w:tc>
          <w:tcPr/>
          <w:p>
            <w:pPr>
              <w:pStyle w:val="Compact"/>
            </w:pPr>
            <w:r>
              <w:t xml:space="preserve">0.8x / 1.15x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WACC adj Bear/Bull</w:t>
            </w:r>
          </w:p>
        </w:tc>
        <w:tc>
          <w:tcPr/>
          <w:p>
            <w:pPr>
              <w:pStyle w:val="Compact"/>
            </w:pPr>
            <w:r>
              <w:t xml:space="preserve">+1.0pp / -0.5pp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Terminal g Bear/Base/Bull</w:t>
            </w:r>
          </w:p>
        </w:tc>
        <w:tc>
          <w:tcPr/>
          <w:p>
            <w:pPr>
              <w:pStyle w:val="Compact"/>
            </w:pPr>
            <w:r>
              <w:t xml:space="preserve">2.5% / 3.0% / 3.5%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 probabilities</w:t>
            </w:r>
          </w:p>
        </w:tc>
        <w:tc>
          <w:tcPr/>
          <w:p>
            <w:pPr>
              <w:pStyle w:val="Compact"/>
            </w:pPr>
            <w:r>
              <w:t xml:space="preserve">25% / 50% / 25%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Horizon exit EV/NTM-FCF Bear/Base/Bull</w:t>
            </w:r>
          </w:p>
        </w:tc>
        <w:tc>
          <w:tcPr/>
          <w:p>
            <w:pPr>
              <w:pStyle w:val="Compact"/>
            </w:pPr>
            <w:r>
              <w:t xml:space="preserve">15x / 25x / 35x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Per-share conversion</w:t>
            </w:r>
          </w:p>
        </w:tc>
        <w:tc>
          <w:tcPr/>
          <w:p>
            <w:pPr>
              <w:pStyle w:val="Compact"/>
            </w:pPr>
            <w:r>
              <w:t xml:space="preserve">value × fx ÷ market cap × price</w:t>
            </w:r>
          </w:p>
        </w:tc>
        <w:tc>
          <w:tcPr/>
          <w:p>
            <w:pPr>
              <w:pStyle w:val="Compact"/>
            </w:pPr>
            <w:r>
              <w:t xml:space="preserve">METHOD: avoids ADR/share-class mismatch</w:t>
            </w:r>
          </w:p>
        </w:tc>
      </w:tr>
    </w:tbl>
    <w:bookmarkEnd w:id="19"/>
    <w:bookmarkStart w:id="20" w:name="model-provenance-模型溯源"/>
    <w:p>
      <w:pPr>
        <w:pStyle w:val="Heading2"/>
      </w:pPr>
      <w:r>
        <w:t xml:space="preserve">12. Model Provenance </w:t>
      </w:r>
      <w:r>
        <w:rPr>
          <w:rFonts w:hint="eastAsia"/>
        </w:rPr>
        <w:t xml:space="preserve">模型溯源</w:t>
      </w:r>
    </w:p>
    <w:p>
      <w:pPr>
        <w:pStyle w:val="Compact"/>
        <w:numPr>
          <w:ilvl w:val="0"/>
          <w:numId w:val="1007"/>
        </w:numPr>
      </w:pPr>
      <w:r>
        <w:t xml:space="preserve">Model file:</w:t>
      </w:r>
      <w:r>
        <w:t xml:space="preserve"> </w:t>
      </w:r>
      <w:r>
        <w:rPr>
          <w:rStyle w:val="VerbatimChar"/>
        </w:rPr>
        <w:t xml:space="preserve">INTC_model_v20261013-1622.xlsx</w:t>
      </w:r>
      <w:r>
        <w:t xml:space="preserve"> </w:t>
      </w:r>
      <w:r>
        <w:t xml:space="preserve">(live formulas; sheets Inputs→Scenarios→DCF→ReverseDCF→Sensitivity→Horizons→SOTP→Comps→ROIC_WACC→History→Sources→Assumptions)</w:t>
      </w:r>
    </w:p>
    <w:p>
      <w:pPr>
        <w:pStyle w:val="Compact"/>
        <w:numPr>
          <w:ilvl w:val="0"/>
          <w:numId w:val="1007"/>
        </w:numPr>
      </w:pPr>
      <w:r>
        <w:t xml:space="preserve">Engine:</w:t>
      </w:r>
      <w:r>
        <w:t xml:space="preserve"> </w:t>
      </w:r>
      <w:r>
        <w:rPr>
          <w:rStyle w:val="VerbatimChar"/>
        </w:rPr>
        <w:t xml:space="preserve">production/pipeline/model.py</w:t>
      </w:r>
      <w:r>
        <w:t xml:space="preserve"> </w:t>
      </w:r>
      <w:r>
        <w:t xml:space="preserve">(Python mirror; values in this report = Python mirror, verified against LibreOffice recalculation of the xlsx)</w:t>
      </w:r>
    </w:p>
    <w:p>
      <w:pPr>
        <w:pStyle w:val="Compact"/>
        <w:numPr>
          <w:ilvl w:val="0"/>
          <w:numId w:val="1007"/>
        </w:numPr>
      </w:pPr>
      <w:r>
        <w:t xml:space="preserve">Data snapshot:</w:t>
      </w:r>
      <w:r>
        <w:t xml:space="preserve"> </w:t>
      </w:r>
      <w:r>
        <w:rPr>
          <w:rStyle w:val="VerbatimChar"/>
        </w:rPr>
        <w:t xml:space="preserve">data/snapshots/20261013-1622</w:t>
      </w:r>
      <w:r>
        <w:t xml:space="preserve"> </w:t>
      </w:r>
      <w:r>
        <w:t xml:space="preserve">(immutable) | Fetched 2026-10-13 16:22 SGT | Generated 2026-10-13 16:23 SGT</w:t>
      </w:r>
    </w:p>
    <w:p>
      <w:pPr>
        <w:pStyle w:val="Compact"/>
        <w:numPr>
          <w:ilvl w:val="0"/>
          <w:numId w:val="1007"/>
        </w:numPr>
      </w:pPr>
      <w:r>
        <w:t xml:space="preserve">Version: v20261013-1622. Prior versions are never overwritten (see company history page).</w:t>
      </w:r>
    </w:p>
    <w:bookmarkEnd w:id="20"/>
    <w:bookmarkStart w:id="21" w:name="版本与事件时间轴"/>
    <w:p>
      <w:pPr>
        <w:pStyle w:val="Heading2"/>
      </w:pPr>
      <w:r>
        <w:t xml:space="preserve">13. </w:t>
      </w:r>
      <w:r>
        <w:rPr>
          <w:rFonts w:hint="eastAsia"/>
        </w:rPr>
        <w:t xml:space="preserve">版本与事件时间轴</w:t>
      </w:r>
    </w:p>
    <w:p>
      <w:pPr>
        <w:pStyle w:val="Compact"/>
        <w:numPr>
          <w:ilvl w:val="0"/>
          <w:numId w:val="1008"/>
        </w:numPr>
      </w:pPr>
      <w:r>
        <w:t xml:space="preserve">v20261013-1622: </w:t>
      </w:r>
      <w:r>
        <w:rPr>
          <w:rFonts w:hint="eastAsia"/>
        </w:rPr>
        <w:t xml:space="preserve">首版生产系统报告</w:t>
      </w:r>
      <w:r>
        <w:t xml:space="preserve"> </w:t>
      </w:r>
      <w:r>
        <w:rPr>
          <w:rFonts w:hint="eastAsia"/>
        </w:rPr>
        <w:t xml:space="preserve">(27家同步)。下一事件:</w:t>
      </w:r>
      <w:r>
        <w:t xml:space="preserve"> </w:t>
      </w:r>
      <w:r>
        <w:rPr>
          <w:rFonts w:hint="eastAsia"/>
        </w:rPr>
        <w:t xml:space="preserve">财报</w:t>
      </w:r>
      <w:r>
        <w:t xml:space="preserve"> 2026-10-30 (TENTATIVE)。</w:t>
      </w:r>
    </w:p>
    <w:bookmarkEnd w:id="21"/>
    <w:bookmarkStart w:id="37" w:name="图片报告-image-report"/>
    <w:p>
      <w:pPr>
        <w:pStyle w:val="Heading2"/>
      </w:pPr>
      <w:r>
        <w:rPr>
          <w:rFonts w:hint="eastAsia"/>
        </w:rPr>
        <w:t xml:space="preserve">图片报告</w:t>
      </w:r>
      <w:r>
        <w:t xml:space="preserve"> Image Report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1_price_vs_value" title="" id="23" name="Picture"/>
            <a:graphic>
              <a:graphicData uri="http://schemas.openxmlformats.org/drawingml/2006/picture">
                <pic:pic>
                  <pic:nvPicPr>
                    <pic:cNvPr descr="images/INTC_1_price_vs_valu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1_price_vs_value</w:t>
      </w:r>
    </w:p>
    <w:p>
      <w:pPr>
        <w:pStyle w:val="BodyText"/>
      </w:pPr>
      <w:r>
        <w:rPr>
          <w:rFonts w:hint="eastAsia"/>
          <w:i/>
          <w:iCs/>
        </w:rPr>
        <w:t xml:space="preserve">股价vs三情景价值</w:t>
      </w:r>
      <w:r>
        <w:rPr>
          <w:i/>
          <w:iCs/>
        </w:rPr>
        <w:t xml:space="preserve"> Price vs scenario values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2_financials" title="" id="26" name="Picture"/>
            <a:graphic>
              <a:graphicData uri="http://schemas.openxmlformats.org/drawingml/2006/picture">
                <pic:pic>
                  <pic:nvPicPr>
                    <pic:cNvPr descr="images/INTC_2_financial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2_financials</w:t>
      </w:r>
    </w:p>
    <w:p>
      <w:pPr>
        <w:pStyle w:val="BodyText"/>
      </w:pPr>
      <w:r>
        <w:rPr>
          <w:rFonts w:hint="eastAsia"/>
          <w:i/>
          <w:iCs/>
        </w:rPr>
        <w:t xml:space="preserve">季度财务</w:t>
      </w:r>
      <w:r>
        <w:rPr>
          <w:i/>
          <w:iCs/>
        </w:rPr>
        <w:t xml:space="preserve"> Quarterly financials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3_scenarios" title="" id="29" name="Picture"/>
            <a:graphic>
              <a:graphicData uri="http://schemas.openxmlformats.org/drawingml/2006/picture">
                <pic:pic>
                  <pic:nvPicPr>
                    <pic:cNvPr descr="images/INTC_3_scenario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3_scenarios</w:t>
      </w:r>
    </w:p>
    <w:p>
      <w:pPr>
        <w:pStyle w:val="BodyText"/>
      </w:pPr>
      <w:r>
        <w:rPr>
          <w:rFonts w:hint="eastAsia"/>
          <w:i/>
          <w:iCs/>
        </w:rPr>
        <w:t xml:space="preserve">三情景</w:t>
      </w:r>
      <w:r>
        <w:rPr>
          <w:i/>
          <w:iCs/>
        </w:rPr>
        <w:t xml:space="preserve"> Scenarios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4_horizons" title="" id="32" name="Picture"/>
            <a:graphic>
              <a:graphicData uri="http://schemas.openxmlformats.org/drawingml/2006/picture">
                <pic:pic>
                  <pic:nvPicPr>
                    <pic:cNvPr descr="images/INTC_4_horizons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4_horizons</w:t>
      </w:r>
    </w:p>
    <w:p>
      <w:pPr>
        <w:pStyle w:val="BodyText"/>
      </w:pPr>
      <w:r>
        <w:rPr>
          <w:rFonts w:hint="eastAsia"/>
          <w:i/>
          <w:iCs/>
        </w:rPr>
        <w:t xml:space="preserve">2/4/6/8季度检验</w:t>
      </w:r>
      <w:r>
        <w:rPr>
          <w:i/>
          <w:iCs/>
        </w:rPr>
        <w:t xml:space="preserve"> Horizon check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5_logic_map" title="" id="35" name="Picture"/>
            <a:graphic>
              <a:graphicData uri="http://schemas.openxmlformats.org/drawingml/2006/picture">
                <pic:pic>
                  <pic:nvPicPr>
                    <pic:cNvPr descr="images/INTC_5_logic_map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5_logic_map</w:t>
      </w:r>
    </w:p>
    <w:p>
      <w:pPr>
        <w:pStyle w:val="BodyText"/>
      </w:pPr>
      <w:r>
        <w:rPr>
          <w:rFonts w:hint="eastAsia"/>
          <w:i/>
          <w:iCs/>
        </w:rPr>
        <w:t xml:space="preserve">研究逻辑图</w:t>
      </w:r>
      <w:r>
        <w:rPr>
          <w:i/>
          <w:iCs/>
        </w:rPr>
        <w:t xml:space="preserve"> Logic map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9" w:name="X7b001d76960e31e6f5441c54f6c4de841cf8cdd"/>
    <w:p>
      <w:pPr>
        <w:pStyle w:val="Heading1"/>
      </w:pPr>
      <w:r>
        <w:t xml:space="preserve">INTC Intel Corporation — Equity Deep Dive (Professional English) v20261013-1622</w:t>
      </w:r>
    </w:p>
    <w:p>
      <w:pPr>
        <w:pStyle w:val="BlockText"/>
      </w:pPr>
      <w:r>
        <w:t xml:space="preserve">Data as of 2026-10-13 16:22 SGT | Price $101.35 | Mkt cap 535.7 bn USD | Reporting currency USD | Not investment advice.</w:t>
      </w:r>
    </w:p>
    <w:bookmarkStart w:id="39" w:name="investment-thesis-hypothesis"/>
    <w:p>
      <w:pPr>
        <w:pStyle w:val="Heading2"/>
      </w:pPr>
      <w:r>
        <w:t xml:space="preserve">1. Investment thesis (HYPOTHESIS)</w:t>
      </w:r>
    </w:p>
    <w:p>
      <w:pPr>
        <w:pStyle w:val="FirstParagraph"/>
      </w:pPr>
      <w:r>
        <w:t xml:space="preserve">Intel is a turnaround backed by US-government, NVDA and SoftBank stakes; value hinges on landing external foundry customers and stabilizing CPU share—a high-uncertainty option-like name.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Bull drivers</w:t>
      </w:r>
      <w:r>
        <w:t xml:space="preserve">: 14A external anchor customer; server CPU demand from agentic AI; margin </w:t>
      </w:r>
      <w:r>
        <w:rPr>
          <w:rFonts w:hint="eastAsia"/>
        </w:rPr>
        <w:t xml:space="preserve">recovery｜14A外部大客户；Agent</w:t>
      </w:r>
      <w:r>
        <w:t xml:space="preserve"> </w:t>
      </w:r>
      <w:r>
        <w:rPr>
          <w:rFonts w:hint="eastAsia"/>
        </w:rPr>
        <w:t xml:space="preserve">AI拉动服务器CPU；毛利修复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Bear drivers</w:t>
      </w:r>
      <w:r>
        <w:t xml:space="preserve">: Foundry losses persist; share loss to AMD/ARM; </w:t>
      </w:r>
      <w:r>
        <w:rPr>
          <w:rFonts w:hint="eastAsia"/>
        </w:rPr>
        <w:t xml:space="preserve">dilution｜代工持续亏损；份额流失；股权稀释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Falsifiers</w:t>
      </w:r>
      <w:r>
        <w:t xml:space="preserve">: No major external 14A commitment; foundry operating loss not narrowing; GM </w:t>
      </w:r>
      <w:r>
        <w:rPr>
          <w:rFonts w:hint="eastAsia"/>
        </w:rPr>
        <w:t xml:space="preserve">&lt;40%｜无14A外部承诺；代工亏损不收窄；毛利率&lt;40%</w:t>
      </w:r>
    </w:p>
    <w:bookmarkEnd w:id="39"/>
    <w:bookmarkStart w:id="40" w:name="products-customers-revenue-model"/>
    <w:p>
      <w:pPr>
        <w:pStyle w:val="Heading2"/>
      </w:pPr>
      <w:r>
        <w:t xml:space="preserve">2. Products, customers, revenue model</w:t>
      </w:r>
    </w:p>
    <w:p>
      <w:pPr>
        <w:pStyle w:val="Compact"/>
        <w:numPr>
          <w:ilvl w:val="0"/>
          <w:numId w:val="1010"/>
        </w:numPr>
      </w:pPr>
      <w:r>
        <w:t xml:space="preserve">Theme: x86 CPU + foundry turnaround </w:t>
      </w:r>
      <w:r>
        <w:rPr>
          <w:rFonts w:hint="eastAsia"/>
        </w:rPr>
        <w:t xml:space="preserve">x86+代工转型</w:t>
      </w:r>
      <w:r>
        <w:t xml:space="preserve"> | Segments: Client computing </w:t>
      </w:r>
      <w:r>
        <w:rPr>
          <w:rFonts w:hint="eastAsia"/>
        </w:rPr>
        <w:t xml:space="preserve">客户端;</w:t>
      </w:r>
      <w:r>
        <w:t xml:space="preserve"> Data center &amp; AI </w:t>
      </w:r>
      <w:r>
        <w:rPr>
          <w:rFonts w:hint="eastAsia"/>
        </w:rPr>
        <w:t xml:space="preserve">数据中心;</w:t>
      </w:r>
      <w:r>
        <w:t xml:space="preserve"> Intel Foundry </w:t>
      </w:r>
      <w:r>
        <w:rPr>
          <w:rFonts w:hint="eastAsia"/>
        </w:rPr>
        <w:t xml:space="preserve">代工;</w:t>
      </w:r>
      <w:r>
        <w:t xml:space="preserve"> Altera/Mobileye/other </w:t>
      </w:r>
      <w:r>
        <w:rPr>
          <w:rFonts w:hint="eastAsia"/>
        </w:rPr>
        <w:t xml:space="preserve">其他</w:t>
      </w:r>
    </w:p>
    <w:p>
      <w:pPr>
        <w:pStyle w:val="Compact"/>
        <w:numPr>
          <w:ilvl w:val="0"/>
          <w:numId w:val="1010"/>
        </w:numPr>
      </w:pPr>
      <w:r>
        <w:t xml:space="preserve">Business description (DATA): Intel Corporation designs, develops, manufactures, markets, sells, and services computing and related end products and services in the United States, Ireland, Israel, and internationally. It operates through three segments: CCG, DCAI, and Intel Foundry. The company offers client computing group products, including client and commercial CPUs, discrete client GPUs, edge computing, and connectivity products; data center and AI products, such as server CPUs, discrete GPUs, and networking products; and semiconductors comprising wafer fabrication, substrates, and other related products and services. It also provides driving assistance and self-driving solutions; and develops and manufactures multi-beam mask writing tools. The company sells its products through sales organizations, distributors, resellers, retailers, and OEM partners. It serves original equipment manufacturers, original design</w:t>
      </w:r>
    </w:p>
    <w:p>
      <w:pPr>
        <w:pStyle w:val="Compact"/>
        <w:numPr>
          <w:ilvl w:val="0"/>
          <w:numId w:val="1010"/>
        </w:numPr>
      </w:pPr>
      <w:r>
        <w:t xml:space="preserve">Customers: PC OEMs, cloud/enterprise servers, US government (CHIPS), foundry prospects (NVDA investment, </w:t>
      </w:r>
      <w:r>
        <w:rPr>
          <w:rFonts w:hint="eastAsia"/>
        </w:rPr>
        <w:t xml:space="preserve">others)｜PC厂、服务器、美国政府、潜在代工客户</w:t>
      </w:r>
    </w:p>
    <w:bookmarkEnd w:id="40"/>
    <w:bookmarkStart w:id="41" w:name="Xf7e0eebfce2361ef4d938640eaa3e4cf812446c"/>
    <w:p>
      <w:pPr>
        <w:pStyle w:val="Heading2"/>
      </w:pPr>
      <w:r>
        <w:t xml:space="preserve">3. Industry, competition, regulation, supply chain (ANALYST FRAMEWORK)</w:t>
      </w:r>
    </w:p>
    <w:p>
      <w:pPr>
        <w:pStyle w:val="Compact"/>
        <w:numPr>
          <w:ilvl w:val="0"/>
          <w:numId w:val="1011"/>
        </w:numPr>
      </w:pPr>
      <w:r>
        <w:t xml:space="preserve">Suppliers: ASML (High-NA EUV), equipment, TSMC (outsourced </w:t>
      </w:r>
      <w:r>
        <w:rPr>
          <w:rFonts w:hint="eastAsia"/>
        </w:rPr>
        <w:t xml:space="preserve">tiles)｜ASML、设备商、台积电(外包)</w:t>
      </w:r>
    </w:p>
    <w:p>
      <w:pPr>
        <w:pStyle w:val="Compact"/>
        <w:numPr>
          <w:ilvl w:val="0"/>
          <w:numId w:val="1011"/>
        </w:numPr>
      </w:pPr>
      <w:r>
        <w:t xml:space="preserve">Competitors: AMD, ARM-based CPUs, TSMC/Samsung in </w:t>
      </w:r>
      <w:r>
        <w:rPr>
          <w:rFonts w:hint="eastAsia"/>
        </w:rPr>
        <w:t xml:space="preserve">foundry｜AMD、ARM</w:t>
      </w:r>
      <w:r>
        <w:t xml:space="preserve"> </w:t>
      </w:r>
      <w:r>
        <w:rPr>
          <w:rFonts w:hint="eastAsia"/>
        </w:rPr>
        <w:t xml:space="preserve">CPU、台积电/三星</w:t>
      </w:r>
    </w:p>
    <w:p>
      <w:pPr>
        <w:pStyle w:val="Compact"/>
        <w:numPr>
          <w:ilvl w:val="0"/>
          <w:numId w:val="1011"/>
        </w:numPr>
      </w:pPr>
      <w:r>
        <w:t xml:space="preserve">Bottlenecks/regulation: 18A/14A yield &amp; external customers, capex funding, </w:t>
      </w:r>
      <w:r>
        <w:rPr>
          <w:rFonts w:hint="eastAsia"/>
        </w:rPr>
        <w:t xml:space="preserve">execution｜18A/14A良率与外部客户、资本开支资金、执行力</w:t>
      </w:r>
    </w:p>
    <w:p>
      <w:pPr>
        <w:pStyle w:val="Compact"/>
        <w:numPr>
          <w:ilvl w:val="0"/>
          <w:numId w:val="1011"/>
        </w:numPr>
      </w:pPr>
      <w:r>
        <w:t xml:space="preserve">KPIs: GM%, foundry op loss, 18A yield commentary, DCAI revenue, </w:t>
      </w:r>
      <w:r>
        <w:rPr>
          <w:rFonts w:hint="eastAsia"/>
        </w:rPr>
        <w:t xml:space="preserve">capex｜毛利率、代工亏损、18A良率、DCAI收入、Capex</w:t>
      </w:r>
    </w:p>
    <w:p>
      <w:pPr>
        <w:pStyle w:val="Compact"/>
        <w:numPr>
          <w:ilvl w:val="0"/>
          <w:numId w:val="1011"/>
        </w:numPr>
      </w:pPr>
      <w:r>
        <w:t xml:space="preserve">Component spot/contract prices: paid feeds not connected —</w:t>
      </w:r>
      <w:r>
        <w:t xml:space="preserve"> </w:t>
      </w:r>
      <w:r>
        <w:rPr>
          <w:b/>
          <w:bCs/>
        </w:rPr>
        <w:t xml:space="preserve">UNAVAILABLE</w:t>
      </w:r>
      <w:r>
        <w:t xml:space="preserve">, tracked qualitatively.</w:t>
      </w:r>
    </w:p>
    <w:bookmarkEnd w:id="41"/>
    <w:bookmarkStart w:id="42" w:name="Xf82d66d225d90b4cba8a47757a9fbb4df26318d"/>
    <w:p>
      <w:pPr>
        <w:pStyle w:val="Heading2"/>
      </w:pPr>
      <w:r>
        <w:t xml:space="preserve">4. Historical financials &amp; cash flow (CONFIRMED, quarterly, USD)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Quarter</w:t>
            </w:r>
          </w:p>
        </w:tc>
        <w:tc>
          <w:tcPr/>
          <w:p>
            <w:pPr>
              <w:pStyle w:val="Compact"/>
            </w:pPr>
            <w:r>
              <w:t xml:space="preserve">Revenue</w:t>
            </w:r>
          </w:p>
        </w:tc>
        <w:tc>
          <w:tcPr/>
          <w:p>
            <w:pPr>
              <w:pStyle w:val="Compact"/>
            </w:pPr>
            <w:r>
              <w:t xml:space="preserve">Gross profit</w:t>
            </w:r>
          </w:p>
        </w:tc>
        <w:tc>
          <w:tcPr/>
          <w:p>
            <w:pPr>
              <w:pStyle w:val="Compact"/>
            </w:pPr>
            <w:r>
              <w:t xml:space="preserve">Op income</w:t>
            </w:r>
          </w:p>
        </w:tc>
        <w:tc>
          <w:tcPr/>
          <w:p>
            <w:pPr>
              <w:pStyle w:val="Compact"/>
            </w:pPr>
            <w:r>
              <w:t xml:space="preserve">Net income</w:t>
            </w:r>
          </w:p>
        </w:tc>
        <w:tc>
          <w:tcPr/>
          <w:p>
            <w:pPr>
              <w:pStyle w:val="Compact"/>
            </w:pPr>
            <w:r>
              <w:t xml:space="preserve">FCF</w:t>
            </w:r>
          </w:p>
        </w:tc>
        <w:tc>
          <w:tcPr/>
          <w:p>
            <w:pPr>
              <w:pStyle w:val="Compact"/>
            </w:pPr>
            <w:r>
              <w:t xml:space="preserve">Op margin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16.1 bn USD</w:t>
            </w:r>
          </w:p>
        </w:tc>
        <w:tc>
          <w:tcPr/>
          <w:p>
            <w:pPr>
              <w:pStyle w:val="Compact"/>
            </w:pPr>
            <w:r>
              <w:t xml:space="preserve">6.5 bn USD</w:t>
            </w:r>
          </w:p>
        </w:tc>
        <w:tc>
          <w:tcPr/>
          <w:p>
            <w:pPr>
              <w:pStyle w:val="Compact"/>
            </w:pPr>
            <w:r>
              <w:t xml:space="preserve">2.0 bn USD</w:t>
            </w:r>
          </w:p>
        </w:tc>
        <w:tc>
          <w:tcPr/>
          <w:p>
            <w:pPr>
              <w:pStyle w:val="Compact"/>
            </w:pPr>
            <w:r>
              <w:t xml:space="preserve">-11.0 bn USD</w:t>
            </w:r>
          </w:p>
        </w:tc>
        <w:tc>
          <w:tcPr/>
          <w:p>
            <w:pPr>
              <w:pStyle w:val="Compact"/>
            </w:pPr>
            <w:r>
              <w:t xml:space="preserve">4.5 bn USD</w:t>
            </w:r>
          </w:p>
        </w:tc>
        <w:tc>
          <w:tcPr/>
          <w:p>
            <w:pPr>
              <w:pStyle w:val="Compact"/>
            </w:pPr>
            <w:r>
              <w:t xml:space="preserve">12.2%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13.6 bn USD</w:t>
            </w:r>
          </w:p>
        </w:tc>
        <w:tc>
          <w:tcPr/>
          <w:p>
            <w:pPr>
              <w:pStyle w:val="Compact"/>
            </w:pPr>
            <w:r>
              <w:t xml:space="preserve">5.3 bn USD</w:t>
            </w:r>
          </w:p>
        </w:tc>
        <w:tc>
          <w:tcPr/>
          <w:p>
            <w:pPr>
              <w:pStyle w:val="Compact"/>
            </w:pPr>
            <w:r>
              <w:t xml:space="preserve">0.9 bn USD</w:t>
            </w:r>
          </w:p>
        </w:tc>
        <w:tc>
          <w:tcPr/>
          <w:p>
            <w:pPr>
              <w:pStyle w:val="Compact"/>
            </w:pPr>
            <w:r>
              <w:t xml:space="preserve">-3.7 bn USD</w:t>
            </w:r>
          </w:p>
        </w:tc>
        <w:tc>
          <w:tcPr/>
          <w:p>
            <w:pPr>
              <w:pStyle w:val="Compact"/>
            </w:pPr>
            <w:r>
              <w:t xml:space="preserve">-2.5 bn USD</w:t>
            </w:r>
          </w:p>
        </w:tc>
        <w:tc>
          <w:tcPr/>
          <w:p>
            <w:pPr>
              <w:pStyle w:val="Compact"/>
            </w:pPr>
            <w:r>
              <w:t xml:space="preserve">6.9%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13.7 bn USD</w:t>
            </w:r>
          </w:p>
        </w:tc>
        <w:tc>
          <w:tcPr/>
          <w:p>
            <w:pPr>
              <w:pStyle w:val="Compact"/>
            </w:pPr>
            <w:r>
              <w:t xml:space="preserve">4.9 bn USD</w:t>
            </w:r>
          </w:p>
        </w:tc>
        <w:tc>
          <w:tcPr/>
          <w:p>
            <w:pPr>
              <w:pStyle w:val="Compact"/>
            </w:pPr>
            <w:r>
              <w:t xml:space="preserve">0.6 bn USD</w:t>
            </w:r>
          </w:p>
        </w:tc>
        <w:tc>
          <w:tcPr/>
          <w:p>
            <w:pPr>
              <w:pStyle w:val="Compact"/>
            </w:pPr>
            <w:r>
              <w:t xml:space="preserve">-0.6 bn USD</w:t>
            </w:r>
          </w:p>
        </w:tc>
        <w:tc>
          <w:tcPr/>
          <w:p>
            <w:pPr>
              <w:pStyle w:val="Compact"/>
            </w:pPr>
            <w:r>
              <w:t xml:space="preserve">0.8 bn USD</w:t>
            </w:r>
          </w:p>
        </w:tc>
        <w:tc>
          <w:tcPr/>
          <w:p>
            <w:pPr>
              <w:pStyle w:val="Compact"/>
            </w:pPr>
            <w:r>
              <w:t xml:space="preserve">4.0%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13.7 bn USD</w:t>
            </w:r>
          </w:p>
        </w:tc>
        <w:tc>
          <w:tcPr/>
          <w:p>
            <w:pPr>
              <w:pStyle w:val="Compact"/>
            </w:pPr>
            <w:r>
              <w:t xml:space="preserve">5.2 bn USD</w:t>
            </w:r>
          </w:p>
        </w:tc>
        <w:tc>
          <w:tcPr/>
          <w:p>
            <w:pPr>
              <w:pStyle w:val="Compact"/>
            </w:pPr>
            <w:r>
              <w:t xml:space="preserve">0.9 bn USD</w:t>
            </w:r>
          </w:p>
        </w:tc>
        <w:tc>
          <w:tcPr/>
          <w:p>
            <w:pPr>
              <w:pStyle w:val="Compact"/>
            </w:pPr>
            <w:r>
              <w:t xml:space="preserve">4.1 bn USD</w:t>
            </w:r>
          </w:p>
        </w:tc>
        <w:tc>
          <w:tcPr/>
          <w:p>
            <w:pPr>
              <w:pStyle w:val="Compact"/>
            </w:pPr>
            <w:r>
              <w:t xml:space="preserve">0.1 bn USD</w:t>
            </w:r>
          </w:p>
        </w:tc>
        <w:tc>
          <w:tcPr/>
          <w:p>
            <w:pPr>
              <w:pStyle w:val="Compact"/>
            </w:pPr>
            <w:r>
              <w:t xml:space="preserve">6.3%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2025-06-30</w:t>
            </w:r>
          </w:p>
        </w:tc>
        <w:tc>
          <w:tcPr/>
          <w:p>
            <w:pPr>
              <w:pStyle w:val="Compact"/>
            </w:pPr>
            <w:r>
              <w:t xml:space="preserve">12.9 bn USD</w:t>
            </w:r>
          </w:p>
        </w:tc>
        <w:tc>
          <w:tcPr/>
          <w:p>
            <w:pPr>
              <w:pStyle w:val="Compact"/>
            </w:pPr>
            <w:r>
              <w:t xml:space="preserve">3.5 bn USD</w:t>
            </w:r>
          </w:p>
        </w:tc>
        <w:tc>
          <w:tcPr/>
          <w:p>
            <w:pPr>
              <w:pStyle w:val="Compact"/>
            </w:pPr>
            <w:r>
              <w:t xml:space="preserve">-1.3 bn USD</w:t>
            </w:r>
          </w:p>
        </w:tc>
        <w:tc>
          <w:tcPr/>
          <w:p>
            <w:pPr>
              <w:pStyle w:val="Compact"/>
            </w:pPr>
            <w:r>
              <w:t xml:space="preserve">-2.9 bn USD</w:t>
            </w:r>
          </w:p>
        </w:tc>
        <w:tc>
          <w:tcPr/>
          <w:p>
            <w:pPr>
              <w:pStyle w:val="Compact"/>
            </w:pPr>
            <w:r>
              <w:t xml:space="preserve">-1.5 bn USD</w:t>
            </w:r>
          </w:p>
        </w:tc>
        <w:tc>
          <w:tcPr/>
          <w:p>
            <w:pPr>
              <w:pStyle w:val="Compact"/>
            </w:pPr>
            <w:r>
              <w:t xml:space="preserve">-10.0%</w:t>
            </w:r>
          </w:p>
        </w:tc>
      </w:tr>
    </w:tbl>
    <w:p>
      <w:pPr>
        <w:pStyle w:val="BodyText"/>
      </w:pPr>
      <w:r>
        <w:t xml:space="preserve">Cash 29.7 bn USD; debt 50.5 bn USD; TTM FCF 2.8 bn USD (FCF margin 5.0%).</w:t>
      </w:r>
    </w:p>
    <w:bookmarkEnd w:id="42"/>
    <w:bookmarkStart w:id="43" w:name="X3c821d6e9fede090eb3c69e03178b96148c2c25"/>
    <w:p>
      <w:pPr>
        <w:pStyle w:val="Heading2"/>
      </w:pPr>
      <w:r>
        <w:t xml:space="preserve">5. Latest earnings: actual vs consensus vs guidance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Quarter</w:t>
            </w:r>
          </w:p>
        </w:tc>
        <w:tc>
          <w:tcPr/>
          <w:p>
            <w:pPr>
              <w:pStyle w:val="Compact"/>
            </w:pPr>
            <w:r>
              <w:t xml:space="preserve">EPS actual</w:t>
            </w:r>
          </w:p>
        </w:tc>
        <w:tc>
          <w:tcPr/>
          <w:p>
            <w:pPr>
              <w:pStyle w:val="Compact"/>
            </w:pPr>
            <w:r>
              <w:t xml:space="preserve">EPS consensus</w:t>
            </w:r>
          </w:p>
        </w:tc>
        <w:tc>
          <w:tcPr/>
          <w:p>
            <w:pPr>
              <w:pStyle w:val="Compact"/>
            </w:pPr>
            <w:r>
              <w:t xml:space="preserve">Surprise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0.23</w:t>
            </w:r>
          </w:p>
        </w:tc>
        <w:tc>
          <w:tcPr/>
          <w:p>
            <w:pPr>
              <w:pStyle w:val="Compact"/>
            </w:pPr>
            <w:r>
              <w:t xml:space="preserve">0.00705</w:t>
            </w:r>
          </w:p>
        </w:tc>
        <w:tc>
          <w:tcPr/>
          <w:p>
            <w:pPr>
              <w:pStyle w:val="Compact"/>
            </w:pPr>
            <w:r>
              <w:t xml:space="preserve">31.6241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0.08264</w:t>
            </w:r>
          </w:p>
        </w:tc>
        <w:tc>
          <w:tcPr/>
          <w:p>
            <w:pPr>
              <w:pStyle w:val="Compact"/>
            </w:pPr>
            <w:r>
              <w:t xml:space="preserve">0.8151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0.29</w:t>
            </w:r>
          </w:p>
        </w:tc>
        <w:tc>
          <w:tcPr/>
          <w:p>
            <w:pPr>
              <w:pStyle w:val="Compact"/>
            </w:pPr>
            <w:r>
              <w:t xml:space="preserve">0.01313</w:t>
            </w:r>
          </w:p>
        </w:tc>
        <w:tc>
          <w:tcPr/>
          <w:p>
            <w:pPr>
              <w:pStyle w:val="Compact"/>
            </w:pPr>
            <w:r>
              <w:t xml:space="preserve">21.0868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0.42</w:t>
            </w:r>
          </w:p>
        </w:tc>
        <w:tc>
          <w:tcPr/>
          <w:p>
            <w:pPr>
              <w:pStyle w:val="Compact"/>
            </w:pPr>
            <w:r>
              <w:t xml:space="preserve">0.21584</w:t>
            </w:r>
          </w:p>
        </w:tc>
        <w:tc>
          <w:tcPr/>
          <w:p>
            <w:pPr>
              <w:pStyle w:val="Compact"/>
            </w:pPr>
            <w:r>
              <w:t xml:space="preserve">0.94589996</w:t>
            </w:r>
          </w:p>
        </w:tc>
      </w:tr>
    </w:tbl>
    <w:p>
      <w:pPr>
        <w:pStyle w:val="Compact"/>
        <w:numPr>
          <w:ilvl w:val="0"/>
          <w:numId w:val="1012"/>
        </w:numPr>
      </w:pPr>
      <w:r>
        <w:t xml:space="preserve">Management guidance: not in automated feed —</w:t>
      </w:r>
      <w:r>
        <w:t xml:space="preserve"> </w:t>
      </w:r>
      <w:r>
        <w:rPr>
          <w:b/>
          <w:bCs/>
        </w:rPr>
        <w:t xml:space="preserve">UNAVAILABLE (to be entered from IR release)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Next earnings (Yahoo; TENTATIVE until company-confirmed):</w:t>
      </w:r>
      <w:r>
        <w:t xml:space="preserve"> </w:t>
      </w:r>
      <w:r>
        <w:rPr>
          <w:b/>
          <w:bCs/>
        </w:rPr>
        <w:t xml:space="preserve">2026-10-30</w:t>
      </w:r>
      <w:r>
        <w:t xml:space="preserve">; current-quarter EPS consensus 0.39202 (36 analysts); revenue consensus 16.4 bn USD.</w:t>
      </w:r>
    </w:p>
    <w:bookmarkEnd w:id="43"/>
    <w:bookmarkStart w:id="44" w:name="quarter-drivers-price-reasonableness"/>
    <w:p>
      <w:pPr>
        <w:pStyle w:val="Heading2"/>
      </w:pPr>
      <w:r>
        <w:t xml:space="preserve">6. 2/4/6/8-quarter drivers &amp; price reasonableness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Horizon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PV of horizon price</w:t>
            </w:r>
          </w:p>
        </w:tc>
        <w:tc>
          <w:tcPr/>
          <w:p>
            <w:pPr>
              <w:pStyle w:val="Compact"/>
            </w:pPr>
            <w:r>
              <w:t xml:space="preserve">vs current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$6.22</w:t>
            </w:r>
          </w:p>
        </w:tc>
        <w:tc>
          <w:tcPr/>
          <w:p>
            <w:pPr>
              <w:pStyle w:val="Compact"/>
            </w:pPr>
            <w:r>
              <w:t xml:space="preserve">-93.9%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$16.51</w:t>
            </w:r>
          </w:p>
        </w:tc>
        <w:tc>
          <w:tcPr/>
          <w:p>
            <w:pPr>
              <w:pStyle w:val="Compact"/>
            </w:pPr>
            <w:r>
              <w:t xml:space="preserve">-83.7%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$28.41</w:t>
            </w:r>
          </w:p>
        </w:tc>
        <w:tc>
          <w:tcPr/>
          <w:p>
            <w:pPr>
              <w:pStyle w:val="Compact"/>
            </w:pPr>
            <w:r>
              <w:t xml:space="preserve">-72.0%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$6.66</w:t>
            </w:r>
          </w:p>
        </w:tc>
        <w:tc>
          <w:tcPr/>
          <w:p>
            <w:pPr>
              <w:pStyle w:val="Compact"/>
            </w:pPr>
            <w:r>
              <w:t xml:space="preserve">-93.4%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$18.47</w:t>
            </w:r>
          </w:p>
        </w:tc>
        <w:tc>
          <w:tcPr/>
          <w:p>
            <w:pPr>
              <w:pStyle w:val="Compact"/>
            </w:pPr>
            <w:r>
              <w:t xml:space="preserve">-81.8%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$32.68</w:t>
            </w:r>
          </w:p>
        </w:tc>
        <w:tc>
          <w:tcPr/>
          <w:p>
            <w:pPr>
              <w:pStyle w:val="Compact"/>
            </w:pPr>
            <w:r>
              <w:t xml:space="preserve">-67.8%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$7.06</w:t>
            </w:r>
          </w:p>
        </w:tc>
        <w:tc>
          <w:tcPr/>
          <w:p>
            <w:pPr>
              <w:pStyle w:val="Compact"/>
            </w:pPr>
            <w:r>
              <w:t xml:space="preserve">-93.0%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$20.44</w:t>
            </w:r>
          </w:p>
        </w:tc>
        <w:tc>
          <w:tcPr/>
          <w:p>
            <w:pPr>
              <w:pStyle w:val="Compact"/>
            </w:pPr>
            <w:r>
              <w:t xml:space="preserve">-79.8%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$37.15</w:t>
            </w:r>
          </w:p>
        </w:tc>
        <w:tc>
          <w:tcPr/>
          <w:p>
            <w:pPr>
              <w:pStyle w:val="Compact"/>
            </w:pPr>
            <w:r>
              <w:t xml:space="preserve">-63.3%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$7.42</w:t>
            </w:r>
          </w:p>
        </w:tc>
        <w:tc>
          <w:tcPr/>
          <w:p>
            <w:pPr>
              <w:pStyle w:val="Compact"/>
            </w:pPr>
            <w:r>
              <w:t xml:space="preserve">-92.7%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$22.42</w:t>
            </w:r>
          </w:p>
        </w:tc>
        <w:tc>
          <w:tcPr/>
          <w:p>
            <w:pPr>
              <w:pStyle w:val="Compact"/>
            </w:pPr>
            <w:r>
              <w:t xml:space="preserve">-77.9%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$41.82</w:t>
            </w:r>
          </w:p>
        </w:tc>
        <w:tc>
          <w:tcPr/>
          <w:p>
            <w:pPr>
              <w:pStyle w:val="Compact"/>
            </w:pPr>
            <w:r>
              <w:t xml:space="preserve">-58.7%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Current-price implied EV/NTM-FCF on Base path:</w:t>
            </w:r>
          </w:p>
        </w:tc>
        <w:tc>
          <w:tcPr/>
          <w:p>
            <w:pPr>
              <w:pStyle w:val="Compact"/>
            </w:pPr>
            <w:r>
              <w:t xml:space="preserve">Horizon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122.4x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105.9x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92.2x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80.6x</w:t>
            </w:r>
          </w:p>
        </w:tc>
      </w:tr>
    </w:tbl>
    <w:bookmarkEnd w:id="44"/>
    <w:bookmarkStart w:id="45" w:name="bear-base-bull-hypothesis"/>
    <w:p>
      <w:pPr>
        <w:pStyle w:val="Heading2"/>
      </w:pPr>
      <w:r>
        <w:t xml:space="preserve">7. Bear / Base / Bull (HYPOTHESIS)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Y1 growth</w:t>
            </w:r>
          </w:p>
        </w:tc>
        <w:tc>
          <w:tcPr/>
          <w:p>
            <w:pPr>
              <w:pStyle w:val="Compact"/>
            </w:pPr>
            <w:r>
              <w:t xml:space="preserve">LR FCF margin</w:t>
            </w:r>
          </w:p>
        </w:tc>
        <w:tc>
          <w:tcPr/>
          <w:p>
            <w:pPr>
              <w:pStyle w:val="Compact"/>
            </w:pPr>
            <w:r>
              <w:t xml:space="preserve">WACC</w:t>
            </w:r>
          </w:p>
        </w:tc>
        <w:tc>
          <w:tcPr/>
          <w:p>
            <w:pPr>
              <w:pStyle w:val="Compact"/>
            </w:pPr>
            <w:r>
              <w:t xml:space="preserve">Terminal g</w:t>
            </w:r>
          </w:p>
        </w:tc>
        <w:tc>
          <w:tcPr/>
          <w:p>
            <w:pPr>
              <w:pStyle w:val="Compact"/>
            </w:pPr>
            <w:r>
              <w:t xml:space="preserve">Prob.</w:t>
            </w:r>
          </w:p>
        </w:tc>
        <w:tc>
          <w:tcPr/>
          <w:p>
            <w:pPr>
              <w:pStyle w:val="Compact"/>
            </w:pPr>
            <w:r>
              <w:t xml:space="preserve">Value/share</w:t>
            </w:r>
          </w:p>
        </w:tc>
        <w:tc>
          <w:tcPr/>
          <w:p>
            <w:pPr>
              <w:pStyle w:val="Compact"/>
            </w:pPr>
            <w:r>
              <w:t xml:space="preserve">vs 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7.4%</w:t>
            </w:r>
          </w:p>
        </w:tc>
        <w:tc>
          <w:tcPr/>
          <w:p>
            <w:pPr>
              <w:pStyle w:val="Compact"/>
            </w:pPr>
            <w:r>
              <w:t xml:space="preserve">8.0%</w:t>
            </w:r>
          </w:p>
        </w:tc>
        <w:tc>
          <w:tcPr/>
          <w:p>
            <w:pPr>
              <w:pStyle w:val="Compact"/>
            </w:pPr>
            <w:r>
              <w:t xml:space="preserve">14.2%</w:t>
            </w:r>
          </w:p>
        </w:tc>
        <w:tc>
          <w:tcPr/>
          <w:p>
            <w:pPr>
              <w:pStyle w:val="Compact"/>
            </w:pPr>
            <w:r>
              <w:t xml:space="preserve">2.5%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$4.57</w:t>
            </w:r>
          </w:p>
        </w:tc>
        <w:tc>
          <w:tcPr/>
          <w:p>
            <w:pPr>
              <w:pStyle w:val="Compact"/>
            </w:pPr>
            <w:r>
              <w:t xml:space="preserve">-95.5%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14.9%</w:t>
            </w:r>
          </w:p>
        </w:tc>
        <w:tc>
          <w:tcPr/>
          <w:p>
            <w:pPr>
              <w:pStyle w:val="Compact"/>
            </w:pPr>
            <w:r>
              <w:t xml:space="preserve">10.0%</w:t>
            </w:r>
          </w:p>
        </w:tc>
        <w:tc>
          <w:tcPr/>
          <w:p>
            <w:pPr>
              <w:pStyle w:val="Compact"/>
            </w:pPr>
            <w:r>
              <w:t xml:space="preserve">13.2%</w:t>
            </w:r>
          </w:p>
        </w:tc>
        <w:tc>
          <w:tcPr/>
          <w:p>
            <w:pPr>
              <w:pStyle w:val="Compact"/>
            </w:pPr>
            <w:r>
              <w:t xml:space="preserve">3.0%</w:t>
            </w:r>
          </w:p>
        </w:tc>
        <w:tc>
          <w:tcPr/>
          <w:p>
            <w:pPr>
              <w:pStyle w:val="Compact"/>
            </w:pPr>
            <w:r>
              <w:t xml:space="preserve">50.0%</w:t>
            </w:r>
          </w:p>
        </w:tc>
        <w:tc>
          <w:tcPr/>
          <w:p>
            <w:pPr>
              <w:pStyle w:val="Compact"/>
            </w:pPr>
            <w:r>
              <w:t xml:space="preserve">$12.03</w:t>
            </w:r>
          </w:p>
        </w:tc>
        <w:tc>
          <w:tcPr/>
          <w:p>
            <w:pPr>
              <w:pStyle w:val="Compact"/>
            </w:pPr>
            <w:r>
              <w:t xml:space="preserve">-88.1%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19.4%</w:t>
            </w:r>
          </w:p>
        </w:tc>
        <w:tc>
          <w:tcPr/>
          <w:p>
            <w:pPr>
              <w:pStyle w:val="Compact"/>
            </w:pPr>
            <w:r>
              <w:t xml:space="preserve">11.5%</w:t>
            </w:r>
          </w:p>
        </w:tc>
        <w:tc>
          <w:tcPr/>
          <w:p>
            <w:pPr>
              <w:pStyle w:val="Compact"/>
            </w:pPr>
            <w:r>
              <w:t xml:space="preserve">12.7%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$20.05</w:t>
            </w:r>
          </w:p>
        </w:tc>
        <w:tc>
          <w:tcPr/>
          <w:p>
            <w:pPr>
              <w:pStyle w:val="Compact"/>
            </w:pPr>
            <w:r>
              <w:t xml:space="preserve">-80.2%</w:t>
            </w:r>
          </w:p>
        </w:tc>
      </w:tr>
    </w:tbl>
    <w:p>
      <w:pPr>
        <w:pStyle w:val="BodyText"/>
      </w:pPr>
      <w:r>
        <w:t xml:space="preserve">Probability-weighted value</w:t>
      </w:r>
      <w:r>
        <w:t xml:space="preserve"> </w:t>
      </w:r>
      <w:r>
        <w:rPr>
          <w:b/>
          <w:bCs/>
        </w:rPr>
        <w:t xml:space="preserve">$12.17</w:t>
      </w:r>
      <w:r>
        <w:t xml:space="preserve"> </w:t>
      </w:r>
      <w:r>
        <w:t xml:space="preserve">(-88.0% vs price).</w:t>
      </w:r>
    </w:p>
    <w:bookmarkEnd w:id="45"/>
    <w:bookmarkStart w:id="46" w:name="Xfc75fe43efc4114f7d3862e568337603baeb829"/>
    <w:p>
      <w:pPr>
        <w:pStyle w:val="Heading2"/>
      </w:pPr>
      <w:r>
        <w:t xml:space="preserve">8. Valuation: DCF / Reverse DCF / ROIC-WACC / comps / sensitivity</w:t>
      </w:r>
    </w:p>
    <w:p>
      <w:pPr>
        <w:pStyle w:val="Compact"/>
        <w:numPr>
          <w:ilvl w:val="0"/>
          <w:numId w:val="1013"/>
        </w:numPr>
      </w:pPr>
      <w:r>
        <w:t xml:space="preserve">Base DCF EV 84.4 bn USD; terminal share 46.1%.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Reverse DCF</w:t>
      </w:r>
      <w:r>
        <w:t xml:space="preserve">: at Base margin/WACC the price implies Y1 revenue growth ≈</w:t>
      </w:r>
      <w:r>
        <w:t xml:space="preserve"> </w:t>
      </w:r>
      <w:r>
        <w:rPr>
          <w:b/>
          <w:bCs/>
        </w:rPr>
        <w:t xml:space="preserve">68.9%</w:t>
      </w:r>
      <w:r>
        <w:t xml:space="preserve"> </w:t>
      </w:r>
      <w:r>
        <w:t xml:space="preserve">vs consensus FY+1 14.9%.</w:t>
      </w:r>
    </w:p>
    <w:p>
      <w:pPr>
        <w:pStyle w:val="Compact"/>
        <w:numPr>
          <w:ilvl w:val="0"/>
          <w:numId w:val="1013"/>
        </w:numPr>
      </w:pPr>
      <w:r>
        <w:t xml:space="preserve">WACC (CAPM) = rf 5.2% + β 1.60 × ERP 5.0% = 13.2%.</w:t>
      </w:r>
    </w:p>
    <w:p>
      <w:pPr>
        <w:pStyle w:val="Compact"/>
        <w:numPr>
          <w:ilvl w:val="0"/>
          <w:numId w:val="1013"/>
        </w:numPr>
      </w:pPr>
      <w:r>
        <w:t xml:space="preserve">SOTP segments: Client computing </w:t>
      </w:r>
      <w:r>
        <w:rPr>
          <w:rFonts w:hint="eastAsia"/>
        </w:rPr>
        <w:t xml:space="preserve">客户端;</w:t>
      </w:r>
      <w:r>
        <w:t xml:space="preserve"> Data center &amp; AI </w:t>
      </w:r>
      <w:r>
        <w:rPr>
          <w:rFonts w:hint="eastAsia"/>
        </w:rPr>
        <w:t xml:space="preserve">数据中心;</w:t>
      </w:r>
      <w:r>
        <w:t xml:space="preserve"> Intel Foundry </w:t>
      </w:r>
      <w:r>
        <w:rPr>
          <w:rFonts w:hint="eastAsia"/>
        </w:rPr>
        <w:t xml:space="preserve">代工;</w:t>
      </w:r>
      <w:r>
        <w:t xml:space="preserve"> Altera/Mobileye/other </w:t>
      </w:r>
      <w:r>
        <w:rPr>
          <w:rFonts w:hint="eastAsia"/>
        </w:rPr>
        <w:t xml:space="preserve">其他</w:t>
      </w:r>
      <w:r>
        <w:t xml:space="preserve"> — framework only; segment revenue inputs pending from filings.</w:t>
      </w:r>
    </w:p>
    <w:p>
      <w:pPr>
        <w:pStyle w:val="Compact"/>
        <w:numPr>
          <w:ilvl w:val="0"/>
          <w:numId w:val="1013"/>
        </w:numPr>
      </w:pPr>
      <w:r>
        <w:t xml:space="preserve">Comps (DATA): see table in Chinese section / Excel</w:t>
      </w:r>
      <w:r>
        <w:t xml:space="preserve"> </w:t>
      </w:r>
      <w:r>
        <w:rPr>
          <w:rStyle w:val="VerbatimChar"/>
        </w:rPr>
        <w:t xml:space="preserve">Comps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Sensitivity: Excel</w:t>
      </w:r>
      <w:r>
        <w:t xml:space="preserve"> </w:t>
      </w:r>
      <w:r>
        <w:rPr>
          <w:rStyle w:val="VerbatimChar"/>
        </w:rPr>
        <w:t xml:space="preserve">Sensitivity</w:t>
      </w:r>
      <w:r>
        <w:t xml:space="preserve"> </w:t>
      </w:r>
      <w:r>
        <w:t xml:space="preserve">(WACC × terminal g).</w:t>
      </w:r>
    </w:p>
    <w:bookmarkEnd w:id="46"/>
    <w:bookmarkStart w:id="47" w:name="risks-counterarguments-falsifiers"/>
    <w:p>
      <w:pPr>
        <w:pStyle w:val="Heading2"/>
      </w:pPr>
      <w:r>
        <w:t xml:space="preserve">9. Risks, counterarguments, falsifiers</w:t>
      </w:r>
    </w:p>
    <w:p>
      <w:pPr>
        <w:pStyle w:val="FirstParagraph"/>
      </w:pPr>
      <w:r>
        <w:t xml:space="preserve">Foundry losses persist; share loss to AMD/ARM; </w:t>
      </w:r>
      <w:r>
        <w:rPr>
          <w:rFonts w:hint="eastAsia"/>
        </w:rPr>
        <w:t xml:space="preserve">dilution｜代工持续亏损；份额流失；股权稀释</w:t>
      </w:r>
      <w:r>
        <w:t xml:space="preserve"> | Falsifiers: No major external 14A commitment; foundry operating loss not narrowing; GM </w:t>
      </w:r>
      <w:r>
        <w:rPr>
          <w:rFonts w:hint="eastAsia"/>
        </w:rPr>
        <w:t xml:space="preserve">&lt;40%｜无14A外部承诺；代工亏损不收窄；毛利率&lt;40%</w:t>
      </w:r>
    </w:p>
    <w:bookmarkEnd w:id="47"/>
    <w:bookmarkStart w:id="48" w:name="X5f84632c184460920f9e7b36d3f64b5580c3064"/>
    <w:p>
      <w:pPr>
        <w:pStyle w:val="Heading2"/>
      </w:pPr>
      <w:r>
        <w:t xml:space="preserve">10–12. Source Ledger / Assumption Register / Model Provenance</w:t>
      </w:r>
    </w:p>
    <w:p>
      <w:pPr>
        <w:pStyle w:val="FirstParagraph"/>
      </w:pPr>
      <w:r>
        <w:t xml:space="preserve">See tables above (shared, bilingual). - Model file:</w:t>
      </w:r>
      <w:r>
        <w:t xml:space="preserve"> </w:t>
      </w:r>
      <w:r>
        <w:rPr>
          <w:rStyle w:val="VerbatimChar"/>
        </w:rPr>
        <w:t xml:space="preserve">INTC_model_v20261013-1622.xlsx</w:t>
      </w:r>
      <w:r>
        <w:t xml:space="preserve"> </w:t>
      </w:r>
      <w:r>
        <w:t xml:space="preserve">(live formulas; sheets Inputs→Scenarios→DCF→ReverseDCF→Sensitivity→Horizons→SOTP→Comps→ROIC_WACC→History→Sources→Assumptions)</w:t>
      </w:r>
      <w:r>
        <w:t xml:space="preserve"> </w:t>
      </w:r>
      <w:r>
        <w:t xml:space="preserve">- Engine:</w:t>
      </w:r>
      <w:r>
        <w:t xml:space="preserve"> </w:t>
      </w:r>
      <w:r>
        <w:rPr>
          <w:rStyle w:val="VerbatimChar"/>
        </w:rPr>
        <w:t xml:space="preserve">production/pipeline/model.py</w:t>
      </w:r>
      <w:r>
        <w:t xml:space="preserve"> </w:t>
      </w:r>
      <w:r>
        <w:t xml:space="preserve">(Python mirror; values in this report = Python mirror, verified against LibreOffice recalculation of the xlsx)</w:t>
      </w:r>
      <w:r>
        <w:t xml:space="preserve"> </w:t>
      </w:r>
      <w:r>
        <w:t xml:space="preserve">- Data snapshot:</w:t>
      </w:r>
      <w:r>
        <w:t xml:space="preserve"> </w:t>
      </w:r>
      <w:r>
        <w:rPr>
          <w:rStyle w:val="VerbatimChar"/>
        </w:rPr>
        <w:t xml:space="preserve">data/snapshots/20261013-1622</w:t>
      </w:r>
      <w:r>
        <w:t xml:space="preserve"> </w:t>
      </w:r>
      <w:r>
        <w:t xml:space="preserve">(immutable) | Fetched 2026-10-13 16:22 SGT | Generated 2026-10-13 16:23 SGT</w:t>
      </w:r>
      <w:r>
        <w:t xml:space="preserve"> </w:t>
      </w:r>
      <w:r>
        <w:t xml:space="preserve">- Version: v20261013-1622. Prior versions are never overwritten (see company history page).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2026-10-13T08:24:08Z</dcterms:created>
  <dcterms:modified xsi:type="dcterms:W3CDTF">2026-10-13T08:24:08Z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